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color w:val="1B365D"/>
          <w:sz w:val="28"/>
          <w:szCs w:val="28"/>
        </w:rPr>
        <w:t xml:space="preserve">Restored House of Williams / Buckler Family Estate</w:t>
      </w:r>
    </w:p>
    <w:p>
      <w:pPr>
        <w:spacing w:after="240"/>
      </w:pPr>
      <w:r>
        <w:rPr>
          <w:rFonts w:ascii="Times New Roman" w:cs="Times New Roman" w:eastAsia="Times New Roman" w:hAnsi="Times New Roman"/>
          <w:i/>
          <w:iCs/>
          <w:color w:val="444444"/>
          <w:sz w:val="20"/>
          <w:szCs w:val="20"/>
        </w:rPr>
        <w:t xml:space="preserve">Great House Farm (Tŷ Mawr), Llandough  ·  ST 1681 7331</w:t>
      </w:r>
    </w:p>
    <w:p>
      <w:pPr>
        <w:spacing w:after="80" w:before="0" w:line="276"/>
        <w:jc w:val="both"/>
      </w:pPr>
      <w:r>
        <w:rPr>
          <w:rFonts w:ascii="Times New Roman" w:cs="Times New Roman" w:eastAsia="Times New Roman" w:hAnsi="Times New Roman"/>
          <w:b w:val="false"/>
          <w:bCs w:val="false"/>
          <w:i w:val="false"/>
          <w:iCs w:val="false"/>
          <w:color w:val="1A1A1A"/>
          <w:sz w:val="22"/>
          <w:szCs w:val="22"/>
        </w:rPr>
        <w:t xml:space="preserve">By email and post</w:t>
      </w:r>
    </w:p>
    <w:p>
      <w:pPr>
        <w:spacing w:after="40" w:before="0" w:line="276"/>
        <w:jc w:val="both"/>
      </w:pPr>
      <w:r>
        <w:rPr>
          <w:rFonts w:ascii="Times New Roman" w:cs="Times New Roman" w:eastAsia="Times New Roman" w:hAnsi="Times New Roman"/>
          <w:b w:val="false"/>
          <w:bCs w:val="false"/>
          <w:i w:val="false"/>
          <w:iCs w:val="false"/>
          <w:color w:val="1A1A1A"/>
          <w:sz w:val="22"/>
          <w:szCs w:val="22"/>
        </w:rPr>
        <w:t xml:space="preserve">complaints@museumwales.ac.uk</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FOI.requests@museumwales.ac.uk</w:t>
      </w:r>
    </w:p>
    <w:p>
      <w:pPr>
        <w:spacing w:after="0" w:before="0" w:line="276"/>
        <w:jc w:val="both"/>
      </w:pPr>
      <w:r>
        <w:rPr>
          <w:rFonts w:ascii="Times New Roman" w:cs="Times New Roman" w:eastAsia="Times New Roman" w:hAnsi="Times New Roman"/>
          <w:color w:val="1A1A1A"/>
          <w:sz w:val="22"/>
          <w:szCs w:val="22"/>
        </w:rPr>
        <w:t xml:space="preserve">Head of Planning &amp; Public Affairs</w:t>
      </w:r>
    </w:p>
    <w:p>
      <w:pPr>
        <w:spacing w:after="0" w:before="0" w:line="276"/>
        <w:jc w:val="both"/>
      </w:pPr>
      <w:r>
        <w:rPr>
          <w:rFonts w:ascii="Times New Roman" w:cs="Times New Roman" w:eastAsia="Times New Roman" w:hAnsi="Times New Roman"/>
          <w:color w:val="1A1A1A"/>
          <w:sz w:val="22"/>
          <w:szCs w:val="22"/>
        </w:rPr>
        <w:t xml:space="preserve">Director of Collections and Research</w:t>
      </w:r>
    </w:p>
    <w:p>
      <w:pPr>
        <w:spacing w:after="0" w:before="0" w:line="276"/>
        <w:jc w:val="both"/>
      </w:pPr>
      <w:r>
        <w:rPr>
          <w:rFonts w:ascii="Times New Roman" w:cs="Times New Roman" w:eastAsia="Times New Roman" w:hAnsi="Times New Roman"/>
          <w:color w:val="1A1A1A"/>
          <w:sz w:val="22"/>
          <w:szCs w:val="22"/>
        </w:rPr>
        <w:t xml:space="preserve">Head of Archaeology</w:t>
      </w:r>
    </w:p>
    <w:p>
      <w:pPr>
        <w:spacing w:after="0" w:before="0" w:line="276"/>
        <w:jc w:val="both"/>
      </w:pPr>
      <w:r>
        <w:rPr>
          <w:rFonts w:ascii="Times New Roman" w:cs="Times New Roman" w:eastAsia="Times New Roman" w:hAnsi="Times New Roman"/>
          <w:color w:val="1A1A1A"/>
          <w:sz w:val="22"/>
          <w:szCs w:val="22"/>
        </w:rPr>
        <w:t xml:space="preserve">Amgueddfa Cymru – Museum Wales</w:t>
      </w:r>
    </w:p>
    <w:p>
      <w:pPr>
        <w:spacing w:after="0" w:before="0" w:line="276"/>
        <w:jc w:val="both"/>
      </w:pPr>
      <w:r>
        <w:rPr>
          <w:rFonts w:ascii="Times New Roman" w:cs="Times New Roman" w:eastAsia="Times New Roman" w:hAnsi="Times New Roman"/>
          <w:color w:val="1A1A1A"/>
          <w:sz w:val="22"/>
          <w:szCs w:val="22"/>
        </w:rPr>
        <w:t xml:space="preserve">Cathays Park</w:t>
      </w:r>
    </w:p>
    <w:p>
      <w:pPr>
        <w:spacing w:after="240" w:before="0" w:line="276"/>
        <w:jc w:val="both"/>
      </w:pPr>
      <w:r>
        <w:rPr>
          <w:rFonts w:ascii="Times New Roman" w:cs="Times New Roman" w:eastAsia="Times New Roman" w:hAnsi="Times New Roman"/>
          <w:color w:val="1A1A1A"/>
          <w:sz w:val="22"/>
          <w:szCs w:val="22"/>
        </w:rPr>
        <w:t xml:space="preserve">Cardiff  CF10 3NP</w:t>
      </w:r>
    </w:p>
    <w:p>
      <w:pPr>
        <w:spacing w:after="240" w:before="0" w:line="276"/>
        <w:jc w:val="both"/>
      </w:pPr>
      <w:r>
        <w:rPr>
          <w:rFonts w:ascii="Times New Roman" w:cs="Times New Roman" w:eastAsia="Times New Roman" w:hAnsi="Times New Roman"/>
          <w:b w:val="false"/>
          <w:bCs w:val="false"/>
          <w:i w:val="false"/>
          <w:iCs w:val="false"/>
          <w:color w:val="1A1A1A"/>
          <w:sz w:val="22"/>
          <w:szCs w:val="22"/>
        </w:rPr>
        <w:t xml:space="preserve">22 September 2026</w:t>
      </w:r>
    </w:p>
    <w:p>
      <w:pPr>
        <w:spacing w:after="80" w:before="0" w:line="276"/>
        <w:jc w:val="both"/>
      </w:pPr>
      <w:r>
        <w:rPr>
          <w:rFonts w:ascii="Times New Roman" w:cs="Times New Roman" w:eastAsia="Times New Roman" w:hAnsi="Times New Roman"/>
          <w:b/>
          <w:bCs/>
          <w:i w:val="false"/>
          <w:iCs w:val="false"/>
          <w:color w:val="1A1A1A"/>
          <w:sz w:val="22"/>
          <w:szCs w:val="22"/>
        </w:rPr>
        <w:t xml:space="preserve">Formal complaint and collections enquiry</w:t>
      </w:r>
      <w:r>
        <w:rPr>
          <w:rFonts w:ascii="Times New Roman" w:cs="Times New Roman" w:eastAsia="Times New Roman" w:hAnsi="Times New Roman"/>
          <w:b w:val="false"/>
          <w:bCs w:val="false"/>
          <w:i w:val="false"/>
          <w:iCs w:val="false"/>
          <w:color w:val="1A1A1A"/>
          <w:sz w:val="22"/>
          <w:szCs w:val="22"/>
        </w:rPr>
        <w:t xml:space="preserve"> — material held from the Williams/Buckler parcel at Great House Farm, Llandough</w:t>
      </w:r>
    </w:p>
    <w:p>
      <w:pPr>
        <w:spacing w:after="240" w:before="0" w:line="276"/>
        <w:jc w:val="both"/>
      </w:pPr>
      <w:r>
        <w:rPr>
          <w:rFonts w:ascii="Times New Roman" w:cs="Times New Roman" w:eastAsia="Times New Roman" w:hAnsi="Times New Roman"/>
          <w:b/>
          <w:bCs/>
          <w:i w:val="false"/>
          <w:iCs w:val="false"/>
          <w:color w:val="1A1A1A"/>
          <w:sz w:val="22"/>
          <w:szCs w:val="22"/>
        </w:rPr>
        <w:t xml:space="preserve">Our ref: </w:t>
      </w:r>
      <w:r>
        <w:rPr>
          <w:rFonts w:ascii="Times New Roman" w:cs="Times New Roman" w:eastAsia="Times New Roman" w:hAnsi="Times New Roman"/>
          <w:b w:val="false"/>
          <w:bCs w:val="false"/>
          <w:i w:val="false"/>
          <w:iCs w:val="false"/>
          <w:color w:val="1A1A1A"/>
          <w:sz w:val="22"/>
          <w:szCs w:val="22"/>
        </w:rPr>
        <w:t xml:space="preserve">WBFE/AC/2026-09-22</w:t>
      </w:r>
    </w:p>
    <w:p>
      <w:pPr>
        <w:spacing w:after="200" w:before="0" w:line="276"/>
        <w:jc w:val="both"/>
      </w:pPr>
      <w:r>
        <w:rPr>
          <w:rFonts w:ascii="Times New Roman" w:cs="Times New Roman" w:eastAsia="Times New Roman" w:hAnsi="Times New Roman"/>
          <w:b w:val="false"/>
          <w:bCs w:val="false"/>
          <w:i w:val="false"/>
          <w:iCs w:val="false"/>
          <w:color w:val="1A1A1A"/>
          <w:sz w:val="22"/>
          <w:szCs w:val="22"/>
        </w:rPr>
        <w:t xml:space="preserve">Dear Sir or Madam,</w:t>
      </w:r>
    </w:p>
    <w:p>
      <w:pPr>
        <w:spacing w:after="200" w:before="0" w:line="276"/>
        <w:jc w:val="both"/>
      </w:pPr>
      <w:r>
        <w:rPr>
          <w:rFonts w:ascii="Times New Roman" w:cs="Times New Roman" w:eastAsia="Times New Roman" w:hAnsi="Times New Roman"/>
          <w:color w:val="1A1A1A"/>
          <w:sz w:val="22"/>
          <w:szCs w:val="22"/>
        </w:rPr>
        <w:t xml:space="preserve">This letter is a formal complaint, and a request for information and remedy, concerning objects, human remains, photographs, excavation archives and associated records held by Amgueddfa Cymru that originated from land at Great House Farm (Tŷ Mawr), Llandough, Vale of Glamorgan.</w:t>
      </w:r>
    </w:p>
    <w:p>
      <w:pPr>
        <w:spacing w:after="200" w:before="0" w:line="276"/>
        <w:jc w:val="both"/>
      </w:pPr>
      <w:r>
        <w:rPr>
          <w:rFonts w:ascii="Times New Roman" w:cs="Times New Roman" w:eastAsia="Times New Roman" w:hAnsi="Times New Roman"/>
          <w:color w:val="1A1A1A"/>
          <w:sz w:val="22"/>
          <w:szCs w:val="22"/>
        </w:rPr>
        <w:t xml:space="preserve">It is sent before any application to the courts so that the Museum has a clear opportunity to identify what it holds from our parcel, to correct provenance and donor records, and to offer remedy. A marked plan of the parcel is enclosed.</w:t>
      </w:r>
    </w:p>
    <w:p>
      <w:pPr>
        <w:spacing w:after="140" w:before="280" w:line="276"/>
      </w:pPr>
      <w:r>
        <w:rPr>
          <w:rFonts w:ascii="Times New Roman" w:cs="Times New Roman" w:eastAsia="Times New Roman" w:hAnsi="Times New Roman"/>
          <w:b/>
          <w:bCs/>
          <w:color w:val="1B365D"/>
          <w:sz w:val="24"/>
          <w:szCs w:val="24"/>
        </w:rPr>
        <w:t xml:space="preserve">1.  Who we are, and what we claim</w:t>
      </w:r>
    </w:p>
    <w:p>
      <w:pPr>
        <w:spacing w:after="200" w:before="0" w:line="276"/>
        <w:jc w:val="both"/>
      </w:pPr>
      <w:r>
        <w:rPr>
          <w:rFonts w:ascii="Times New Roman" w:cs="Times New Roman" w:eastAsia="Times New Roman" w:hAnsi="Times New Roman"/>
          <w:color w:val="1A1A1A"/>
          <w:sz w:val="22"/>
          <w:szCs w:val="22"/>
        </w:rPr>
        <w:t xml:space="preserve">We write as the Williams / Buckler family, who occupied Great House Farm from at least 1667 and who assert continuing title to a discrete parcel comprising the farmhouse, garden and associated ground. That parcel was treated together with the wider agricultural holding in the 1916 Bute agricultural tenancy to John Williams. From 1928 the house-and-garden parcel was ours. It has been ours since. Decades of possession proceedings and later registration have not extinguished that title. They have masked it.</w:t>
      </w:r>
    </w:p>
    <w:p>
      <w:pPr>
        <w:spacing w:after="200" w:before="0" w:line="276"/>
        <w:jc w:val="both"/>
      </w:pPr>
      <w:r>
        <w:rPr>
          <w:rFonts w:ascii="Times New Roman" w:cs="Times New Roman" w:eastAsia="Times New Roman" w:hAnsi="Times New Roman"/>
          <w:color w:val="1A1A1A"/>
          <w:sz w:val="22"/>
          <w:szCs w:val="22"/>
        </w:rPr>
        <w:t xml:space="preserve">Mary Doreen Williams (our grandmother) asserted ownership of that parcel throughout her life. She remained in occupation of the house and garden until her death there in 1983. She produced no registered conveyance because the family title documents were removed: the original is said to have been taken from the public library, and the copy from the loft of the farmhouse. That assertion of ownership was not determined as a title question. It was treated as an obstacle to possession.</w:t>
      </w:r>
    </w:p>
    <w:p>
      <w:pPr>
        <w:spacing w:after="140" w:before="280" w:line="276"/>
      </w:pPr>
      <w:r>
        <w:rPr>
          <w:rFonts w:ascii="Times New Roman" w:cs="Times New Roman" w:eastAsia="Times New Roman" w:hAnsi="Times New Roman"/>
          <w:b/>
          <w:bCs/>
          <w:color w:val="1B365D"/>
          <w:sz w:val="24"/>
          <w:szCs w:val="24"/>
        </w:rPr>
        <w:t xml:space="preserve">2.  Why the Museum is concerned</w:t>
      </w:r>
    </w:p>
    <w:p>
      <w:pPr>
        <w:spacing w:after="200" w:before="0" w:line="276"/>
        <w:jc w:val="both"/>
      </w:pPr>
      <w:r>
        <w:rPr>
          <w:rFonts w:ascii="Times New Roman" w:cs="Times New Roman" w:eastAsia="Times New Roman" w:hAnsi="Times New Roman"/>
          <w:color w:val="1A1A1A"/>
          <w:sz w:val="22"/>
          <w:szCs w:val="22"/>
        </w:rPr>
        <w:t xml:space="preserve">The Museum is not a party to the historic possession actions. It is, however, the public curator of material taken from the ground of that parcel after the family were evicted and the house demolished, and of earlier finds from the same house. Those things left our land without our gift, our licence, or any determination that the person who later “donated” them owned the soil from which they came.</w:t>
      </w:r>
    </w:p>
    <w:p>
      <w:pPr>
        <w:spacing w:after="200" w:before="0" w:line="276"/>
        <w:jc w:val="both"/>
      </w:pPr>
      <w:r>
        <w:rPr>
          <w:rFonts w:ascii="Times New Roman" w:cs="Times New Roman" w:eastAsia="Times New Roman" w:hAnsi="Times New Roman"/>
          <w:color w:val="1A1A1A"/>
          <w:sz w:val="22"/>
          <w:szCs w:val="22"/>
        </w:rPr>
        <w:t xml:space="preserve">Public catalogues already show that Amgueddfa Cymru holds material recorded as from “Great House Farm, Llandough”, grid ST 1681 7331, including:</w:t>
      </w:r>
    </w:p>
    <w:p>
      <w:pPr>
        <w:spacing w:after="120" w:before="0" w:line="276"/>
        <w:jc w:val="both"/>
      </w:pPr>
      <w:r>
        <w:rPr>
          <w:rFonts w:ascii="Times New Roman" w:cs="Times New Roman" w:eastAsia="Times New Roman" w:hAnsi="Times New Roman"/>
          <w:b/>
          <w:bCs/>
          <w:i w:val="false"/>
          <w:iCs w:val="false"/>
          <w:color w:val="1A1A1A"/>
          <w:sz w:val="22"/>
          <w:szCs w:val="22"/>
        </w:rPr>
        <w:t xml:space="preserve">•  </w:t>
      </w:r>
      <w:r>
        <w:rPr>
          <w:rFonts w:ascii="Times New Roman" w:cs="Times New Roman" w:eastAsia="Times New Roman" w:hAnsi="Times New Roman"/>
          <w:b w:val="false"/>
          <w:bCs w:val="false"/>
          <w:i w:val="false"/>
          <w:iCs w:val="false"/>
          <w:color w:val="1A1A1A"/>
          <w:sz w:val="22"/>
          <w:szCs w:val="22"/>
        </w:rPr>
        <w:t xml:space="preserve">the 1994 Cotswold Archaeological Trust excavation archive (site LLAN94), accessioned as series 95.56H, recorded as a donation of 28 July 1994 by Ideal Homes Wales Ltd, with a condition that Ideal Homes be acknowledged as donor if objects are displayed;</w:t>
      </w:r>
    </w:p>
    <w:p>
      <w:pPr>
        <w:spacing w:after="120" w:before="0" w:line="276"/>
        <w:jc w:val="both"/>
      </w:pPr>
      <w:r>
        <w:rPr>
          <w:rFonts w:ascii="Times New Roman" w:cs="Times New Roman" w:eastAsia="Times New Roman" w:hAnsi="Times New Roman"/>
          <w:b/>
          <w:bCs/>
          <w:i w:val="false"/>
          <w:iCs w:val="false"/>
          <w:color w:val="1A1A1A"/>
          <w:sz w:val="22"/>
          <w:szCs w:val="22"/>
        </w:rPr>
        <w:t xml:space="preserve">•  </w:t>
      </w:r>
      <w:r>
        <w:rPr>
          <w:rFonts w:ascii="Times New Roman" w:cs="Times New Roman" w:eastAsia="Times New Roman" w:hAnsi="Times New Roman"/>
          <w:b w:val="false"/>
          <w:bCs w:val="false"/>
          <w:i w:val="false"/>
          <w:iCs w:val="false"/>
          <w:color w:val="1A1A1A"/>
          <w:sz w:val="22"/>
          <w:szCs w:val="22"/>
        </w:rPr>
        <w:t xml:space="preserve">early-medieval human remains from that excavation (the largest early-Christian cemetery yet excavated in Wales), together with Roman and early-medieval small finds, pottery, and post-medieval objects from farm demolition deposits;</w:t>
      </w:r>
    </w:p>
    <w:p>
      <w:pPr>
        <w:spacing w:after="200" w:before="0" w:line="276"/>
        <w:jc w:val="both"/>
      </w:pPr>
      <w:r>
        <w:rPr>
          <w:rFonts w:ascii="Times New Roman" w:cs="Times New Roman" w:eastAsia="Times New Roman" w:hAnsi="Times New Roman"/>
          <w:b/>
          <w:bCs/>
          <w:i w:val="false"/>
          <w:iCs w:val="false"/>
          <w:color w:val="1A1A1A"/>
          <w:sz w:val="22"/>
          <w:szCs w:val="22"/>
        </w:rPr>
        <w:t xml:space="preserve">•  </w:t>
      </w:r>
      <w:r>
        <w:rPr>
          <w:rFonts w:ascii="Times New Roman" w:cs="Times New Roman" w:eastAsia="Times New Roman" w:hAnsi="Times New Roman"/>
          <w:b w:val="false"/>
          <w:bCs w:val="false"/>
          <w:i w:val="false"/>
          <w:iCs w:val="false"/>
          <w:color w:val="1A1A1A"/>
          <w:sz w:val="22"/>
          <w:szCs w:val="22"/>
        </w:rPr>
        <w:t xml:space="preserve">earlier reported finds from the house itself, including the medieval ironwork / “armour” recovered under the floor of the rear wing around 1870–1880 while the Williams family were in occupation, identified in RCAHMW / GGAT notes as now at the National Museum (visor and lance are publicly described as held by Amgueddfa Cymru).</w:t>
      </w:r>
    </w:p>
    <w:p>
      <w:pPr>
        <w:spacing w:after="200" w:before="0" w:line="276"/>
        <w:jc w:val="both"/>
      </w:pPr>
      <w:r>
        <w:rPr>
          <w:rFonts w:ascii="Times New Roman" w:cs="Times New Roman" w:eastAsia="Times New Roman" w:hAnsi="Times New Roman"/>
          <w:color w:val="1A1A1A"/>
          <w:sz w:val="22"/>
          <w:szCs w:val="22"/>
        </w:rPr>
        <w:t xml:space="preserve">The 1994 donor was the residential developer who excavated after BP Properties Ltd had obtained possession of the wider site and demolished the house in December 1988. Ideal Homes Wales Ltd was not the historic owner of our parcel. We did not give that material to the Museum. The occupiers of our land did.</w:t>
      </w:r>
    </w:p>
    <w:p>
      <w:pPr>
        <w:spacing w:after="140" w:before="280" w:line="276"/>
      </w:pPr>
      <w:r>
        <w:rPr>
          <w:rFonts w:ascii="Times New Roman" w:cs="Times New Roman" w:eastAsia="Times New Roman" w:hAnsi="Times New Roman"/>
          <w:b/>
          <w:bCs/>
          <w:color w:val="1B365D"/>
          <w:sz w:val="24"/>
          <w:szCs w:val="24"/>
        </w:rPr>
        <w:t xml:space="preserve">3.  The defective premise the Museum should not adopt</w:t>
      </w:r>
    </w:p>
    <w:p>
      <w:pPr>
        <w:spacing w:after="200" w:before="0" w:line="276"/>
        <w:jc w:val="both"/>
      </w:pPr>
      <w:r>
        <w:rPr>
          <w:rFonts w:ascii="Times New Roman" w:cs="Times New Roman" w:eastAsia="Times New Roman" w:hAnsi="Times New Roman"/>
          <w:color w:val="1A1A1A"/>
          <w:sz w:val="22"/>
          <w:szCs w:val="22"/>
        </w:rPr>
        <w:t xml:space="preserve">BP Properties Ltd and its predecessors were awarded possession. From possession they were then able to register, develop, and treat the site as an estate. Possession is not the same thing as a judicial determination of historic title. The Court of Appeal in BP Properties Ltd v Buckler [1987] EWCA Civ 2 decided the effect of 1974 unilateral “licence” letters on an adverse-possession defence. It did not try, and did not determine, the competing historical title to the house-and-garden parcel.</w:t>
      </w:r>
    </w:p>
    <w:p>
      <w:pPr>
        <w:spacing w:after="200" w:before="0" w:line="276"/>
        <w:jc w:val="both"/>
      </w:pPr>
      <w:r>
        <w:rPr>
          <w:rFonts w:ascii="Times New Roman" w:cs="Times New Roman" w:eastAsia="Times New Roman" w:hAnsi="Times New Roman"/>
          <w:color w:val="1A1A1A"/>
          <w:sz w:val="22"/>
          <w:szCs w:val="22"/>
        </w:rPr>
        <w:t xml:space="preserve">The chain on which later parties have relied is, on the family’s case, defective at several points:</w:t>
      </w:r>
    </w:p>
    <w:p>
      <w:pPr>
        <w:spacing w:after="120" w:before="0" w:line="276"/>
        <w:jc w:val="both"/>
      </w:pPr>
      <w:r>
        <w:rPr>
          <w:rFonts w:ascii="Times New Roman" w:cs="Times New Roman" w:eastAsia="Times New Roman" w:hAnsi="Times New Roman"/>
          <w:b/>
          <w:bCs/>
          <w:i w:val="false"/>
          <w:iCs w:val="false"/>
          <w:color w:val="1A1A1A"/>
          <w:sz w:val="22"/>
          <w:szCs w:val="22"/>
        </w:rPr>
        <w:t xml:space="preserve">•  </w:t>
      </w:r>
      <w:r>
        <w:rPr>
          <w:rFonts w:ascii="Times New Roman" w:cs="Times New Roman" w:eastAsia="Times New Roman" w:hAnsi="Times New Roman"/>
          <w:b w:val="false"/>
          <w:bCs w:val="false"/>
          <w:i w:val="false"/>
          <w:iCs w:val="false"/>
          <w:color w:val="1A1A1A"/>
          <w:sz w:val="22"/>
          <w:szCs w:val="22"/>
        </w:rPr>
        <w:t xml:space="preserve">From 1928 the “whole farm” no longer included our parcel. Treating house and garden as if they travelled with the eastern agricultural land is the root error.</w:t>
      </w:r>
    </w:p>
    <w:p>
      <w:pPr>
        <w:spacing w:after="120" w:before="0" w:line="276"/>
        <w:jc w:val="both"/>
      </w:pPr>
      <w:r>
        <w:rPr>
          <w:rFonts w:ascii="Times New Roman" w:cs="Times New Roman" w:eastAsia="Times New Roman" w:hAnsi="Times New Roman"/>
          <w:b/>
          <w:bCs/>
          <w:i w:val="false"/>
          <w:iCs w:val="false"/>
          <w:color w:val="1A1A1A"/>
          <w:sz w:val="22"/>
          <w:szCs w:val="22"/>
        </w:rPr>
        <w:t xml:space="preserve">•  </w:t>
      </w:r>
      <w:r>
        <w:rPr>
          <w:rFonts w:ascii="Times New Roman" w:cs="Times New Roman" w:eastAsia="Times New Roman" w:hAnsi="Times New Roman"/>
          <w:b w:val="false"/>
          <w:bCs w:val="false"/>
          <w:i w:val="false"/>
          <w:iCs w:val="false"/>
          <w:color w:val="1A1A1A"/>
          <w:sz w:val="22"/>
          <w:szCs w:val="22"/>
        </w:rPr>
        <w:t xml:space="preserve">The 1955 possession order, and the ambiguity it introduced as to land east of ours, was later used to make our occupancy of our own parcel look permissive. It was not.</w:t>
      </w:r>
    </w:p>
    <w:p>
      <w:pPr>
        <w:spacing w:after="120" w:before="0" w:line="276"/>
        <w:jc w:val="both"/>
      </w:pPr>
      <w:r>
        <w:rPr>
          <w:rFonts w:ascii="Times New Roman" w:cs="Times New Roman" w:eastAsia="Times New Roman" w:hAnsi="Times New Roman"/>
          <w:b/>
          <w:bCs/>
          <w:i w:val="false"/>
          <w:iCs w:val="false"/>
          <w:color w:val="1A1A1A"/>
          <w:sz w:val="22"/>
          <w:szCs w:val="22"/>
        </w:rPr>
        <w:t xml:space="preserve">•  </w:t>
      </w:r>
      <w:r>
        <w:rPr>
          <w:rFonts w:ascii="Times New Roman" w:cs="Times New Roman" w:eastAsia="Times New Roman" w:hAnsi="Times New Roman"/>
          <w:b w:val="false"/>
          <w:bCs w:val="false"/>
          <w:i w:val="false"/>
          <w:iCs w:val="false"/>
          <w:color w:val="1A1A1A"/>
          <w:sz w:val="22"/>
          <w:szCs w:val="22"/>
        </w:rPr>
        <w:t xml:space="preserve">The 1938 sale of the freehold reversion (Western Mail, 16 November 1938) did not displace the family and did not convey away a parcel the family already treated as theirs.</w:t>
      </w:r>
    </w:p>
    <w:p>
      <w:pPr>
        <w:spacing w:after="120" w:before="0" w:line="276"/>
        <w:jc w:val="both"/>
      </w:pPr>
      <w:r>
        <w:rPr>
          <w:rFonts w:ascii="Times New Roman" w:cs="Times New Roman" w:eastAsia="Times New Roman" w:hAnsi="Times New Roman"/>
          <w:b/>
          <w:bCs/>
          <w:i w:val="false"/>
          <w:iCs w:val="false"/>
          <w:color w:val="1A1A1A"/>
          <w:sz w:val="22"/>
          <w:szCs w:val="22"/>
        </w:rPr>
        <w:t xml:space="preserve">•  </w:t>
      </w:r>
      <w:r>
        <w:rPr>
          <w:rFonts w:ascii="Times New Roman" w:cs="Times New Roman" w:eastAsia="Times New Roman" w:hAnsi="Times New Roman"/>
          <w:b w:val="false"/>
          <w:bCs w:val="false"/>
          <w:i w:val="false"/>
          <w:iCs w:val="false"/>
          <w:color w:val="1A1A1A"/>
          <w:sz w:val="22"/>
          <w:szCs w:val="22"/>
        </w:rPr>
        <w:t xml:space="preserve">In 1982, on first registration, BP registered our parcel in its own name. Mary Williams’s ownership claim was not carried onto the register. The original 1982 registration bundle survives at HM Land Registry; inspection has been refused.</w:t>
      </w:r>
    </w:p>
    <w:p>
      <w:pPr>
        <w:spacing w:after="200" w:before="0" w:line="276"/>
        <w:jc w:val="both"/>
      </w:pPr>
      <w:r>
        <w:rPr>
          <w:rFonts w:ascii="Times New Roman" w:cs="Times New Roman" w:eastAsia="Times New Roman" w:hAnsi="Times New Roman"/>
          <w:b/>
          <w:bCs/>
          <w:i w:val="false"/>
          <w:iCs w:val="false"/>
          <w:color w:val="1A1A1A"/>
          <w:sz w:val="22"/>
          <w:szCs w:val="22"/>
        </w:rPr>
        <w:t xml:space="preserve">•  </w:t>
      </w:r>
      <w:r>
        <w:rPr>
          <w:rFonts w:ascii="Times New Roman" w:cs="Times New Roman" w:eastAsia="Times New Roman" w:hAnsi="Times New Roman"/>
          <w:b w:val="false"/>
          <w:bCs w:val="false"/>
          <w:i w:val="false"/>
          <w:iCs w:val="false"/>
          <w:color w:val="1A1A1A"/>
          <w:sz w:val="22"/>
          <w:szCs w:val="22"/>
        </w:rPr>
        <w:t xml:space="preserve">The October/November 1974 letters offered a lifetime licence over land BP was not, on our case, competent to license. Mary Williams publicly continued to claim ownership. Silence was later treated as acceptance. The licence-holder died in 1983. Demolition followed in 1988.</w:t>
      </w:r>
    </w:p>
    <w:p>
      <w:pPr>
        <w:spacing w:after="200" w:before="0" w:line="276"/>
        <w:jc w:val="both"/>
      </w:pPr>
      <w:r>
        <w:rPr>
          <w:rFonts w:ascii="Times New Roman" w:cs="Times New Roman" w:eastAsia="Times New Roman" w:hAnsi="Times New Roman"/>
          <w:color w:val="1A1A1A"/>
          <w:sz w:val="22"/>
          <w:szCs w:val="22"/>
        </w:rPr>
        <w:t xml:space="preserve">If the Museum’s acquisition and cataloguing treat Ideal Homes, or BP, as uncontroversial source of title to objects taken from that parcel, the Museum has built its provenance on the same false premise.</w:t>
      </w:r>
    </w:p>
    <w:p>
      <w:pPr>
        <w:spacing w:after="140" w:before="280" w:line="276"/>
      </w:pPr>
      <w:r>
        <w:rPr>
          <w:rFonts w:ascii="Times New Roman" w:cs="Times New Roman" w:eastAsia="Times New Roman" w:hAnsi="Times New Roman"/>
          <w:b/>
          <w:bCs/>
          <w:color w:val="1B365D"/>
          <w:sz w:val="24"/>
          <w:szCs w:val="24"/>
        </w:rPr>
        <w:t xml:space="preserve">4.  The complaint</w:t>
      </w:r>
    </w:p>
    <w:p>
      <w:pPr>
        <w:spacing w:after="200" w:before="0" w:line="276"/>
        <w:jc w:val="both"/>
      </w:pPr>
      <w:r>
        <w:rPr>
          <w:rFonts w:ascii="Times New Roman" w:cs="Times New Roman" w:eastAsia="Times New Roman" w:hAnsi="Times New Roman"/>
          <w:color w:val="1A1A1A"/>
          <w:sz w:val="22"/>
          <w:szCs w:val="22"/>
        </w:rPr>
        <w:t xml:space="preserve">The complaint is as follows.</w:t>
      </w:r>
    </w:p>
    <w:p>
      <w:pPr>
        <w:spacing w:after="160" w:before="0" w:line="276"/>
        <w:jc w:val="both"/>
      </w:pPr>
      <w:r>
        <w:rPr>
          <w:rFonts w:ascii="Times New Roman" w:cs="Times New Roman" w:eastAsia="Times New Roman" w:hAnsi="Times New Roman"/>
          <w:b/>
          <w:bCs/>
          <w:i w:val="false"/>
          <w:iCs w:val="false"/>
          <w:color w:val="1A1A1A"/>
          <w:sz w:val="22"/>
          <w:szCs w:val="22"/>
        </w:rPr>
        <w:t xml:space="preserve">First.</w:t>
      </w:r>
      <w:r>
        <w:rPr>
          <w:rFonts w:ascii="Times New Roman" w:cs="Times New Roman" w:eastAsia="Times New Roman" w:hAnsi="Times New Roman"/>
          <w:b w:val="false"/>
          <w:bCs w:val="false"/>
          <w:i w:val="false"/>
          <w:iCs w:val="false"/>
          <w:color w:val="1A1A1A"/>
          <w:sz w:val="22"/>
          <w:szCs w:val="22"/>
        </w:rPr>
        <w:t xml:space="preserve"> Material taken from our parcel is held by a national museum without any recorded dealing with the family who occupied that parcel as asserted freeholders, and whose title documents had already gone missing.</w:t>
      </w:r>
    </w:p>
    <w:p>
      <w:pPr>
        <w:spacing w:after="160" w:before="0" w:line="276"/>
        <w:jc w:val="both"/>
      </w:pPr>
      <w:r>
        <w:rPr>
          <w:rFonts w:ascii="Times New Roman" w:cs="Times New Roman" w:eastAsia="Times New Roman" w:hAnsi="Times New Roman"/>
          <w:b/>
          <w:bCs/>
          <w:i w:val="false"/>
          <w:iCs w:val="false"/>
          <w:color w:val="1A1A1A"/>
          <w:sz w:val="22"/>
          <w:szCs w:val="22"/>
        </w:rPr>
        <w:t xml:space="preserve">Second.</w:t>
      </w:r>
      <w:r>
        <w:rPr>
          <w:rFonts w:ascii="Times New Roman" w:cs="Times New Roman" w:eastAsia="Times New Roman" w:hAnsi="Times New Roman"/>
          <w:b w:val="false"/>
          <w:bCs w:val="false"/>
          <w:i w:val="false"/>
          <w:iCs w:val="false"/>
          <w:color w:val="1A1A1A"/>
          <w:sz w:val="22"/>
          <w:szCs w:val="22"/>
        </w:rPr>
        <w:t xml:space="preserve"> The 1994 accession records Ideal Homes Wales Ltd as donor of objects and human remains from ground which, on our case, Ideal Homes never owned. Display conditions requiring acknowledgement of that company as donor compound the error.</w:t>
      </w:r>
    </w:p>
    <w:p>
      <w:pPr>
        <w:spacing w:after="160" w:before="0" w:line="276"/>
        <w:jc w:val="both"/>
      </w:pPr>
      <w:r>
        <w:rPr>
          <w:rFonts w:ascii="Times New Roman" w:cs="Times New Roman" w:eastAsia="Times New Roman" w:hAnsi="Times New Roman"/>
          <w:b/>
          <w:bCs/>
          <w:i w:val="false"/>
          <w:iCs w:val="false"/>
          <w:color w:val="1A1A1A"/>
          <w:sz w:val="22"/>
          <w:szCs w:val="22"/>
        </w:rPr>
        <w:t xml:space="preserve">Third.</w:t>
      </w:r>
      <w:r>
        <w:rPr>
          <w:rFonts w:ascii="Times New Roman" w:cs="Times New Roman" w:eastAsia="Times New Roman" w:hAnsi="Times New Roman"/>
          <w:b w:val="false"/>
          <w:bCs w:val="false"/>
          <w:i w:val="false"/>
          <w:iCs w:val="false"/>
          <w:color w:val="1A1A1A"/>
          <w:sz w:val="22"/>
          <w:szCs w:val="22"/>
        </w:rPr>
        <w:t xml:space="preserve"> We have been given no inventory confined to our parcel — as opposed to a loose site-name “Great House Farm” that collapses two tenures that parted in 1928.</w:t>
      </w:r>
    </w:p>
    <w:p>
      <w:pPr>
        <w:spacing w:after="200" w:before="0" w:line="276"/>
        <w:jc w:val="both"/>
      </w:pPr>
      <w:r>
        <w:rPr>
          <w:rFonts w:ascii="Times New Roman" w:cs="Times New Roman" w:eastAsia="Times New Roman" w:hAnsi="Times New Roman"/>
          <w:b/>
          <w:bCs/>
          <w:i w:val="false"/>
          <w:iCs w:val="false"/>
          <w:color w:val="1A1A1A"/>
          <w:sz w:val="22"/>
          <w:szCs w:val="22"/>
        </w:rPr>
        <w:t xml:space="preserve">Fourth.</w:t>
      </w:r>
      <w:r>
        <w:rPr>
          <w:rFonts w:ascii="Times New Roman" w:cs="Times New Roman" w:eastAsia="Times New Roman" w:hAnsi="Times New Roman"/>
          <w:b w:val="false"/>
          <w:bCs w:val="false"/>
          <w:i w:val="false"/>
          <w:iCs w:val="false"/>
          <w:color w:val="1A1A1A"/>
          <w:sz w:val="22"/>
          <w:szCs w:val="22"/>
        </w:rPr>
        <w:t xml:space="preserve"> Earlier family-period finds from inside the house (including the c.1870 floor find) appear to have entered the national collection without any surviving account, so far as we have been able to discover, of gift, sale or compulsory process involving the Williams family.</w:t>
      </w:r>
    </w:p>
    <w:p>
      <w:pPr>
        <w:spacing w:after="200" w:before="0" w:line="276"/>
        <w:jc w:val="both"/>
      </w:pPr>
      <w:r>
        <w:rPr>
          <w:rFonts w:ascii="Times New Roman" w:cs="Times New Roman" w:eastAsia="Times New Roman" w:hAnsi="Times New Roman"/>
          <w:color w:val="1A1A1A"/>
          <w:sz w:val="22"/>
          <w:szCs w:val="22"/>
        </w:rPr>
        <w:t xml:space="preserve">We do not ask the Museum to sit as a land tribunal. We do ask it not to treat a disputed parcel as if the title question were closed, and not to describe as a developer’s gift what was taken from soil the family still claims.</w:t>
      </w:r>
    </w:p>
    <w:p>
      <w:pPr>
        <w:spacing w:after="140" w:before="280" w:line="276"/>
      </w:pPr>
      <w:r>
        <w:rPr>
          <w:rFonts w:ascii="Times New Roman" w:cs="Times New Roman" w:eastAsia="Times New Roman" w:hAnsi="Times New Roman"/>
          <w:b/>
          <w:bCs/>
          <w:color w:val="1B365D"/>
          <w:sz w:val="24"/>
          <w:szCs w:val="24"/>
        </w:rPr>
        <w:t xml:space="preserve">5.  What we need the Museum to do</w:t>
      </w:r>
    </w:p>
    <w:p>
      <w:pPr>
        <w:spacing w:after="200" w:before="0" w:line="276"/>
        <w:jc w:val="both"/>
      </w:pPr>
      <w:r>
        <w:rPr>
          <w:rFonts w:ascii="Times New Roman" w:cs="Times New Roman" w:eastAsia="Times New Roman" w:hAnsi="Times New Roman"/>
          <w:color w:val="1A1A1A"/>
          <w:sz w:val="22"/>
          <w:szCs w:val="22"/>
        </w:rPr>
        <w:t xml:space="preserve">Please treat the numbered items below as the complaint outcome we seek, and also as a request for recorded information. If any item is more conveniently handled as a Freedom of Information request, please do so and allocate a reference.</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Confirm, by accession number, whether Amgueddfa Cymru holds objects, human remains, samples, photographs, drawings, notebooks, digital data or correspondence originating from Great House Farm, Llandough (ST 1681 7331), including but not limited to series 95.56H, any 1978–80 GGAT villa-excavation material, and any nineteenth-century ironwork / armour / visor / lance from the house.</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Provide an inventory of everything so held, identifying for each item or group: accession number, object type, excavation or find context, date of acquisition, recorded donor or vendor, and present location (display, store, loan, or National Collections Centre).</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State specifically which of those items, on the Museum’s own context records, came from the house-and-garden parcel marked on the enclosed plan, as distinct from land to the east of that parcel.</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Supply copies of the 28 July 1994 donation papers, any transfer of title or gift form, any conditions of gift (including the Ideal Homes acknowledgement clause), and any later variation.</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Supply the acquisition record for the earlier house finds attributed to the National Museum in RCAHMW / GGAT notes, including the date and legal basis on which they entered the collection.</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Explain what due-diligence or title check, if any, was undertaken in 1994 as to the donor’s competence to give away objects and human remains from that ground.</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Place a note on the relevant catalogue records that title to the source parcel is asserted by the Williams / Buckler family and is not treated by this family as settled by the 1987 possession/licence appeal.</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Confirm that no further display, loan, sampling, destructive analysis or transfer will proceed under an Ideal Homes (or BP) donor credit in respect of material from our parcel until this complaint is answered.</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Tell us what remedy the Museum is prepared to offer — including correction of provenance, shared curatorship, formal acknowledgement of the family as source community, access for inspection, and any return or negotiated holding of objects that are not human remains.</w:t>
      </w:r>
    </w:p>
    <w:p>
      <w:pPr>
        <w:pStyle w:val="ListParagraph"/>
        <w:numPr>
          <w:ilvl w:val="0"/>
          <w:numId w:val="2"/>
        </w:numPr>
        <w:spacing w:after="80" w:line="276"/>
      </w:pPr>
      <w:r>
        <w:rPr>
          <w:rFonts w:ascii="Times New Roman" w:cs="Times New Roman" w:eastAsia="Times New Roman" w:hAnsi="Times New Roman"/>
          <w:color w:val="1A1A1A"/>
          <w:sz w:val="22"/>
          <w:szCs w:val="22"/>
        </w:rPr>
        <w:t xml:space="preserve">Identify the officer who will own this complaint, and the date by which we will receive a Stage 1 response.</w:t>
      </w:r>
    </w:p>
    <w:p>
      <w:pPr>
        <w:spacing w:after="140" w:before="280" w:line="276"/>
      </w:pPr>
      <w:r>
        <w:rPr>
          <w:rFonts w:ascii="Times New Roman" w:cs="Times New Roman" w:eastAsia="Times New Roman" w:hAnsi="Times New Roman"/>
          <w:b/>
          <w:bCs/>
          <w:color w:val="1B365D"/>
          <w:sz w:val="24"/>
          <w:szCs w:val="24"/>
        </w:rPr>
        <w:t xml:space="preserve">6.  Human remains</w:t>
      </w:r>
    </w:p>
    <w:p>
      <w:pPr>
        <w:spacing w:after="200" w:before="0" w:line="276"/>
        <w:jc w:val="both"/>
      </w:pPr>
      <w:r>
        <w:rPr>
          <w:rFonts w:ascii="Times New Roman" w:cs="Times New Roman" w:eastAsia="Times New Roman" w:hAnsi="Times New Roman"/>
          <w:color w:val="1A1A1A"/>
          <w:sz w:val="22"/>
          <w:szCs w:val="22"/>
        </w:rPr>
        <w:t xml:space="preserve">We recognise that early-medieval human remains are not ordinary chattels and that their care is governed by museum ethics, the law of burial, and public interest in the archaeological record. We do not, in this letter, demand their release. We do require a complete account of what is held, from which part of the site, on whose authority they were accessioned, and how the Museum now records the source of the ground. Those people were buried in soil that later became our family’s home. The family was not consulted when they were lifted.</w:t>
      </w:r>
    </w:p>
    <w:p>
      <w:pPr>
        <w:spacing w:after="140" w:before="280" w:line="276"/>
      </w:pPr>
      <w:r>
        <w:rPr>
          <w:rFonts w:ascii="Times New Roman" w:cs="Times New Roman" w:eastAsia="Times New Roman" w:hAnsi="Times New Roman"/>
          <w:b/>
          <w:bCs/>
          <w:color w:val="1B365D"/>
          <w:sz w:val="24"/>
          <w:szCs w:val="24"/>
        </w:rPr>
        <w:t xml:space="preserve">7.  Remedy before proceedings</w:t>
      </w:r>
    </w:p>
    <w:p>
      <w:pPr>
        <w:spacing w:after="200" w:before="0" w:line="276"/>
        <w:jc w:val="both"/>
      </w:pPr>
      <w:r>
        <w:rPr>
          <w:rFonts w:ascii="Times New Roman" w:cs="Times New Roman" w:eastAsia="Times New Roman" w:hAnsi="Times New Roman"/>
          <w:color w:val="1A1A1A"/>
          <w:sz w:val="22"/>
          <w:szCs w:val="22"/>
        </w:rPr>
        <w:t xml:space="preserve">This letter is written so that the Museum may put its house in order, and may offer remedy, before we ask a court to do so. We will enclose the parcel plan with the email transmitting this letter. Further documents — the reconstructed title chronology, the 1974 RCAHMW survey, Cadw and GGAT forensic critiques, and the 1987 judgment — can be supplied on request. We would prefer an inventory and a meeting with Collections and Archaeology to a claim form. That preference will not last indefinitely.</w:t>
      </w:r>
    </w:p>
    <w:p>
      <w:pPr>
        <w:spacing w:after="200" w:before="0" w:line="276"/>
        <w:jc w:val="both"/>
      </w:pPr>
      <w:r>
        <w:rPr>
          <w:rFonts w:ascii="Times New Roman" w:cs="Times New Roman" w:eastAsia="Times New Roman" w:hAnsi="Times New Roman"/>
          <w:color w:val="1A1A1A"/>
          <w:sz w:val="22"/>
          <w:szCs w:val="22"/>
        </w:rPr>
        <w:t xml:space="preserve">Please acknowledge receipt within ten working days.</w:t>
      </w:r>
    </w:p>
    <w:p>
      <w:pPr>
        <w:spacing w:after="360" w:before="80" w:line="276"/>
        <w:jc w:val="both"/>
      </w:pPr>
      <w:r>
        <w:rPr>
          <w:rFonts w:ascii="Times New Roman" w:cs="Times New Roman" w:eastAsia="Times New Roman" w:hAnsi="Times New Roman"/>
          <w:b w:val="false"/>
          <w:bCs w:val="false"/>
          <w:i w:val="false"/>
          <w:iCs w:val="false"/>
          <w:color w:val="1A1A1A"/>
          <w:sz w:val="22"/>
          <w:szCs w:val="22"/>
        </w:rPr>
        <w:t xml:space="preserve">Yours faithfully,</w:t>
      </w:r>
    </w:p>
    <w:p>
      <w:pPr>
        <w:spacing w:after="40" w:before="0" w:line="276"/>
        <w:jc w:val="both"/>
      </w:pPr>
      <w:r>
        <w:rPr>
          <w:rFonts w:ascii="Times New Roman" w:cs="Times New Roman" w:eastAsia="Times New Roman" w:hAnsi="Times New Roman"/>
          <w:b/>
          <w:bCs/>
          <w:i w:val="false"/>
          <w:iCs w:val="false"/>
          <w:color w:val="1A1A1A"/>
          <w:sz w:val="22"/>
          <w:szCs w:val="22"/>
        </w:rPr>
        <w:t xml:space="preserve">Hywel (Sion) Buckler</w:t>
      </w:r>
    </w:p>
    <w:p>
      <w:pPr>
        <w:spacing w:after="80" w:before="0" w:line="276"/>
        <w:jc w:val="both"/>
      </w:pPr>
      <w:r>
        <w:rPr>
          <w:rFonts w:ascii="Times New Roman" w:cs="Times New Roman" w:eastAsia="Times New Roman" w:hAnsi="Times New Roman"/>
          <w:color w:val="1A1A1A"/>
          <w:sz w:val="22"/>
          <w:szCs w:val="22"/>
        </w:rPr>
        <w:t xml:space="preserve">For and on behalf of the Restored House of Williams / Buckler Family Estate</w:t>
      </w:r>
    </w:p>
    <w:p>
      <w:pPr>
        <w:spacing w:after="200" w:before="0" w:line="276"/>
        <w:jc w:val="both"/>
      </w:pPr>
      <w:r>
        <w:rPr>
          <w:rFonts w:ascii="Times New Roman" w:cs="Times New Roman" w:eastAsia="Times New Roman" w:hAnsi="Times New Roman"/>
          <w:color w:val="1A1A1A"/>
          <w:sz w:val="22"/>
          <w:szCs w:val="22"/>
        </w:rPr>
        <w:t xml:space="preserve">hywelapbuckler@gmail.com  ·  020 3137 7118</w:t>
      </w:r>
    </w:p>
    <w:p>
      <w:pPr>
        <w:spacing w:after="80" w:before="0" w:line="276"/>
        <w:jc w:val="both"/>
      </w:pPr>
      <w:r>
        <w:rPr>
          <w:rFonts w:ascii="Times New Roman" w:cs="Times New Roman" w:eastAsia="Times New Roman" w:hAnsi="Times New Roman"/>
          <w:b/>
          <w:bCs/>
          <w:i w:val="false"/>
          <w:iCs w:val="false"/>
          <w:color w:val="1A1A1A"/>
          <w:sz w:val="22"/>
          <w:szCs w:val="22"/>
        </w:rPr>
        <w:t xml:space="preserve">Enclosure: </w:t>
      </w:r>
      <w:r>
        <w:rPr>
          <w:rFonts w:ascii="Times New Roman" w:cs="Times New Roman" w:eastAsia="Times New Roman" w:hAnsi="Times New Roman"/>
          <w:b w:val="false"/>
          <w:bCs w:val="false"/>
          <w:i w:val="false"/>
          <w:iCs w:val="false"/>
          <w:color w:val="1A1A1A"/>
          <w:sz w:val="22"/>
          <w:szCs w:val="22"/>
        </w:rPr>
        <w:t xml:space="preserve">marked plan of the house-and-garden parcel claimed from 1928.</w:t>
      </w:r>
    </w:p>
    <w:p>
      <w:pPr>
        <w:spacing w:after="0" w:before="0" w:line="276"/>
        <w:jc w:val="both"/>
      </w:pPr>
      <w:r>
        <w:rPr>
          <w:rFonts w:ascii="Times New Roman" w:cs="Times New Roman" w:eastAsia="Times New Roman" w:hAnsi="Times New Roman"/>
          <w:b w:val="false"/>
          <w:bCs w:val="false"/>
          <w:i/>
          <w:iCs/>
          <w:color w:val="1A1A1A"/>
          <w:sz w:val="22"/>
          <w:szCs w:val="22"/>
        </w:rPr>
        <w:t xml:space="preserve">Copied for information to: </w:t>
      </w:r>
      <w:r>
        <w:rPr>
          <w:rFonts w:ascii="Times New Roman" w:cs="Times New Roman" w:eastAsia="Times New Roman" w:hAnsi="Times New Roman"/>
          <w:b w:val="false"/>
          <w:bCs w:val="false"/>
          <w:i/>
          <w:iCs/>
          <w:color w:val="1A1A1A"/>
          <w:sz w:val="22"/>
          <w:szCs w:val="22"/>
        </w:rPr>
        <w:t xml:space="preserve">Director of Collections and Research; Head of Archaeology; Freedom of Information officer.</w:t>
      </w:r>
    </w:p>
    <w:sectPr>
      <w:headerReference w:type="default" r:id="rId7"/>
      <w:footerReference w:type="default" r:id="rId8"/>
      <w:pgSz w:w="11906" w:h="16838" w:orient="portrait"/>
      <w:pgMar w:top="1008" w:right="1134" w:bottom="100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8"/>
      </w:pBdr>
      <w:jc w:val="center"/>
    </w:pPr>
    <w:r>
      <w:rPr>
        <w:rFonts w:ascii="Times New Roman" w:cs="Times New Roman" w:eastAsia="Times New Roman" w:hAnsi="Times New Roman"/>
        <w:color w:val="444444"/>
        <w:sz w:val="16"/>
        <w:szCs w:val="16"/>
      </w:rPr>
      <w:t xml:space="preserve">Formal complaint and collections enquiry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r>
      <w:rPr>
        <w:rFonts w:ascii="Times New Roman" w:cs="Times New Roman" w:eastAsia="Times New Roman" w:hAnsi="Times New Roman"/>
        <w:color w:val="444444"/>
        <w:sz w:val="16"/>
        <w:szCs w:val="16"/>
      </w:rPr>
      <w:t xml:space="preserve"> of </w:t>
    </w:r>
    <w:r>
      <w:rPr>
        <w:rFonts w:ascii="Times New Roman" w:cs="Times New Roman" w:eastAsia="Times New Roman" w:hAnsi="Times New Roman"/>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6"/>
      </w:pBdr>
      <w:spacing w:after="120"/>
    </w:pPr>
    <w:r>
      <w:rPr>
        <w:rFonts w:ascii="Times New Roman" w:cs="Times New Roman" w:eastAsia="Times New Roman" w:hAnsi="Times New Roman"/>
        <w:i/>
        <w:iCs/>
        <w:color w:val="1B365D"/>
        <w:sz w:val="16"/>
        <w:szCs w:val="16"/>
      </w:rPr>
      <w:t xml:space="preserve">Williams / Buckler Family Estate  ·  Great House Farm, Llandough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2026-09-22T14:28:01.369Z</dcterms:created>
  <dcterms:modified xsi:type="dcterms:W3CDTF">2026-09-22T14:28:01.369Z</dcterms:modified>
</cp:coreProperties>
</file>

<file path=docProps/custom.xml><?xml version="1.0" encoding="utf-8"?>
<Properties xmlns="http://schemas.openxmlformats.org/officeDocument/2006/custom-properties" xmlns:vt="http://schemas.openxmlformats.org/officeDocument/2006/docPropsVTypes"/>
</file>