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color w:val="212338"/>
          <w:sz w:val="24"/>
          <w:szCs w:val="24"/>
          <w:highlight w:val="white"/>
          <w:rtl w:val="0"/>
        </w:rPr>
        <w:t xml:space="preserve">1-Architecture Intro:</w:t>
      </w:r>
    </w:p>
    <w:p w:rsidR="00000000" w:rsidDel="00000000" w:rsidP="00000000" w:rsidRDefault="00000000" w:rsidRPr="00000000" w14:paraId="00000002">
      <w:pPr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color w:val="212338"/>
          <w:sz w:val="24"/>
          <w:szCs w:val="24"/>
          <w:highlight w:val="white"/>
          <w:rtl w:val="0"/>
        </w:rPr>
        <w:tab/>
        <w:t xml:space="preserve">1.1-Blockchain Overview</w:t>
      </w:r>
    </w:p>
    <w:p w:rsidR="00000000" w:rsidDel="00000000" w:rsidP="00000000" w:rsidRDefault="00000000" w:rsidRPr="00000000" w14:paraId="00000003">
      <w:pPr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color w:val="212338"/>
          <w:sz w:val="24"/>
          <w:szCs w:val="24"/>
          <w:highlight w:val="white"/>
          <w:rtl w:val="0"/>
        </w:rPr>
        <w:tab/>
        <w:t xml:space="preserve">1.2-Environment and tool setup</w:t>
      </w:r>
    </w:p>
    <w:p w:rsidR="00000000" w:rsidDel="00000000" w:rsidP="00000000" w:rsidRDefault="00000000" w:rsidRPr="00000000" w14:paraId="00000004">
      <w:pPr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color w:val="212338"/>
          <w:sz w:val="24"/>
          <w:szCs w:val="24"/>
          <w:highlight w:val="white"/>
          <w:rtl w:val="0"/>
        </w:rPr>
        <w:tab/>
        <w:t xml:space="preserve">1.3-Hardhat Setup</w:t>
      </w:r>
    </w:p>
    <w:p w:rsidR="00000000" w:rsidDel="00000000" w:rsidP="00000000" w:rsidRDefault="00000000" w:rsidRPr="00000000" w14:paraId="00000005">
      <w:pPr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color w:val="212338"/>
          <w:sz w:val="24"/>
          <w:szCs w:val="24"/>
          <w:highlight w:val="white"/>
          <w:rtl w:val="0"/>
        </w:rPr>
        <w:t xml:space="preserve">2-Hello World dApp</w:t>
      </w:r>
    </w:p>
    <w:p w:rsidR="00000000" w:rsidDel="00000000" w:rsidP="00000000" w:rsidRDefault="00000000" w:rsidRPr="00000000" w14:paraId="00000007">
      <w:pPr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color w:val="212338"/>
          <w:sz w:val="24"/>
          <w:szCs w:val="24"/>
          <w:highlight w:val="white"/>
          <w:rtl w:val="0"/>
        </w:rPr>
        <w:tab/>
        <w:t xml:space="preserve">2.1-Basic of dApp</w:t>
      </w:r>
    </w:p>
    <w:p w:rsidR="00000000" w:rsidDel="00000000" w:rsidP="00000000" w:rsidRDefault="00000000" w:rsidRPr="00000000" w14:paraId="00000008">
      <w:pPr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color w:val="212338"/>
          <w:sz w:val="24"/>
          <w:szCs w:val="24"/>
          <w:highlight w:val="white"/>
          <w:rtl w:val="0"/>
        </w:rPr>
        <w:tab/>
        <w:t xml:space="preserve">2.2-Deploying the dApp</w:t>
      </w:r>
    </w:p>
    <w:p w:rsidR="00000000" w:rsidDel="00000000" w:rsidP="00000000" w:rsidRDefault="00000000" w:rsidRPr="00000000" w14:paraId="00000009">
      <w:pPr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color w:val="212338"/>
          <w:sz w:val="24"/>
          <w:szCs w:val="24"/>
          <w:highlight w:val="white"/>
          <w:rtl w:val="0"/>
        </w:rPr>
        <w:tab/>
        <w:t xml:space="preserve">2.3-Access contract from node.js</w:t>
      </w:r>
    </w:p>
    <w:p w:rsidR="00000000" w:rsidDel="00000000" w:rsidP="00000000" w:rsidRDefault="00000000" w:rsidRPr="00000000" w14:paraId="0000000A">
      <w:pPr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color w:val="212338"/>
          <w:sz w:val="24"/>
          <w:szCs w:val="24"/>
          <w:highlight w:val="white"/>
          <w:rtl w:val="0"/>
        </w:rPr>
        <w:t xml:space="preserve">3-Creating a Coin (Token)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212338"/>
          <w:sz w:val="24"/>
          <w:szCs w:val="24"/>
          <w:highlight w:val="white"/>
          <w:rtl w:val="0"/>
        </w:rPr>
        <w:t xml:space="preserve">3.1- Token smart contract, exchange coins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color w:val="212338"/>
          <w:sz w:val="24"/>
          <w:szCs w:val="24"/>
          <w:highlight w:val="white"/>
          <w:rtl w:val="0"/>
        </w:rPr>
        <w:t xml:space="preserve">3.2-Exchange coins through node.js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0" w:firstLine="0"/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color w:val="212338"/>
          <w:sz w:val="24"/>
          <w:szCs w:val="24"/>
          <w:highlight w:val="white"/>
          <w:rtl w:val="0"/>
        </w:rPr>
        <w:t xml:space="preserve">4-True distribution: Global testnet</w:t>
        <w:tab/>
        <w:tab/>
        <w:tab/>
        <w:tab/>
        <w:tab/>
        <w:tab/>
        <w:tab/>
        <w:tab/>
        <w:tab/>
        <w:tab/>
        <w:t xml:space="preserve">4.1-Deploying on the global testnet 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rPr>
              <w:color w:val="212338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1233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color w:val="2123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