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BUSINESS RISK INFORMATION STATEMENT</w:t>
      </w:r>
    </w:p>
    <w:p>
      <w:pPr>
        <w:jc w:val="center"/>
      </w:pPr>
      <w:r>
        <w:rPr>
          <w:i/>
        </w:rPr>
        <w:t>Controlled Test Case — ERIDSS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Organization</w:t>
            </w:r>
          </w:p>
        </w:tc>
        <w:tc>
          <w:tcPr>
            <w:tcW w:type="dxa" w:w="4968"/>
          </w:tcPr>
          <w:p>
            <w:r>
              <w:t>Umucyo Retail Services Ltd</w:t>
            </w:r>
          </w:p>
        </w:tc>
      </w:tr>
      <w:tr>
        <w:tc>
          <w:tcPr>
            <w:tcW w:type="dxa" w:w="4968"/>
          </w:tcPr>
          <w:p>
            <w:r>
              <w:rPr>
                <w:b/>
              </w:rPr>
              <w:t>Document Reference</w:t>
            </w:r>
          </w:p>
        </w:tc>
        <w:tc>
          <w:tcPr>
            <w:tcW w:type="dxa" w:w="4968"/>
          </w:tcPr>
          <w:p>
            <w:r>
              <w:t>URS-ERIDSS-TEST-001</w:t>
            </w:r>
          </w:p>
        </w:tc>
      </w:tr>
      <w:tr>
        <w:tc>
          <w:tcPr>
            <w:tcW w:type="dxa" w:w="4968"/>
          </w:tcPr>
          <w:p>
            <w:r>
              <w:rPr>
                <w:b/>
              </w:rPr>
              <w:t>Reporting Period</w:t>
            </w:r>
          </w:p>
        </w:tc>
        <w:tc>
          <w:tcPr>
            <w:tcW w:type="dxa" w:w="4968"/>
          </w:tcPr>
          <w:p>
            <w:r>
              <w:t>2026 Test Period</w:t>
            </w:r>
          </w:p>
        </w:tc>
      </w:tr>
      <w:tr>
        <w:tc>
          <w:tcPr>
            <w:tcW w:type="dxa" w:w="4968"/>
          </w:tcPr>
          <w:p>
            <w:r>
              <w:rPr>
                <w:b/>
              </w:rPr>
              <w:t>Purpose</w:t>
            </w:r>
          </w:p>
        </w:tc>
        <w:tc>
          <w:tcPr>
            <w:tcW w:type="dxa" w:w="4968"/>
          </w:tcPr>
          <w:p>
            <w:r>
              <w:t>Controlled validation of automated risk extraction and scoring</w:t>
            </w:r>
          </w:p>
        </w:tc>
      </w:tr>
    </w:tbl>
    <w:p>
      <w:pPr>
        <w:pStyle w:val="Heading1"/>
      </w:pPr>
      <w:r>
        <w:t>1. Company Profile</w:t>
      </w:r>
    </w:p>
    <w:p>
      <w:r>
        <w:t>Umucyo Retail Services Ltd is a fictional company created exclusively for controlled testing of the Enterprise Risk Intelligence and Decision Support System. The company has 40 employees and annual revenue of RWF 500,000,000.</w:t>
      </w:r>
    </w:p>
    <w:p>
      <w:pPr>
        <w:pStyle w:val="Heading1"/>
      </w:pPr>
      <w:r>
        <w:t>2. Financial Risk Evidence</w:t>
      </w:r>
    </w:p>
    <w:p>
      <w:r>
        <w:t>During the test period, annual revenue remained stable at RWF 500,000,000. Revenue did not decrease. Outstanding debt is RWF 50,000,000. Available cash reserves cover 12 months of normal operating expenses. No customer represents more than 10% of annual revenue. The company maintains a formal emergency cash reserve policy.</w:t>
      </w:r>
    </w:p>
    <w:p>
      <w:pPr>
        <w:pStyle w:val="Heading1"/>
      </w:pPr>
      <w:r>
        <w:t>3. Operational Risk Evidence</w:t>
      </w:r>
    </w:p>
    <w:p>
      <w:r>
        <w:t>The company purchases raw materials from five qualified suppliers. The largest supplier represents exactly 20% of total raw-material purchases. No supplier represents more than 20% of purchases. The company experienced no supplier interruption during the previous 12 months. Production can continue if any single supplier becomes unavailable because qualified alternatives are already available.</w:t>
      </w:r>
    </w:p>
    <w:p>
      <w:r>
        <w:t>The company has documented business continuity procedures, tests them every six months, and maintains a replacement plan for all critical production equipment.</w:t>
      </w:r>
    </w:p>
    <w:p>
      <w:pPr>
        <w:pStyle w:val="Heading1"/>
      </w:pPr>
      <w:r>
        <w:t>4. Technology Risk Evidence</w:t>
      </w:r>
    </w:p>
    <w:p>
      <w:r>
        <w:t>All administrative accounts use multi-factor authentication. Critical business data is automatically backed up every day. Backup restoration is tested monthly. The company has a documented incident-response plan and conducts cybersecurity awareness training every six months.</w:t>
      </w:r>
    </w:p>
    <w:p>
      <w:pPr>
        <w:pStyle w:val="Heading1"/>
      </w:pPr>
      <w:r>
        <w:t>5. Strategic Risk Evidence</w:t>
      </w:r>
    </w:p>
    <w:p>
      <w:r>
        <w:t>No single product represents more than 20% of annual revenue. The company has a documented three-year strategy and measures quarterly strategic performance indicators. Management reviews strategic objectives every quarter.</w:t>
      </w:r>
    </w:p>
    <w:p>
      <w:pPr>
        <w:pStyle w:val="Heading1"/>
      </w:pPr>
      <w:r>
        <w:t>6. Legal and Regulatory Evidence</w:t>
      </w:r>
    </w:p>
    <w:p>
      <w:r>
        <w:t>All required operating licenses are current. Required tax filings are completed on time. All major supplier contracts contain documented delivery obligations and service-level requirements. No regulatory violation has been recorded during the previous 24 months.</w:t>
      </w:r>
    </w:p>
    <w:p>
      <w:pPr>
        <w:pStyle w:val="Heading1"/>
      </w:pPr>
      <w:r>
        <w:t>7. Market Risk Evidence</w:t>
      </w:r>
    </w:p>
    <w:p>
      <w:r>
        <w:t>The company operates in a stable market. No significant increase in customer price pressure has been recorded during the test period. Raw-material prices increased by only 2%. The company has approximately ten competitors, and no competitor currently has a dominant market position. The three largest customers together represent only 20% of annual revenue.</w:t>
      </w:r>
    </w:p>
    <w:p>
      <w:pPr>
        <w:pStyle w:val="Heading1"/>
      </w:pPr>
      <w:r>
        <w:t>8. Existing Controls</w:t>
      </w:r>
    </w:p>
    <w:p>
      <w:pPr>
        <w:pStyle w:val="ListBullet"/>
      </w:pPr>
      <w:r>
        <w:t>Formal financial reporting is performed monthly.</w:t>
      </w:r>
    </w:p>
    <w:p>
      <w:pPr>
        <w:pStyle w:val="ListBullet"/>
      </w:pPr>
      <w:r>
        <w:t>Emergency cash reserves cover 12 months of normal operating expenses.</w:t>
      </w:r>
    </w:p>
    <w:p>
      <w:pPr>
        <w:pStyle w:val="ListBullet"/>
      </w:pPr>
      <w:r>
        <w:t>Five qualified suppliers are available for major raw materials.</w:t>
      </w:r>
    </w:p>
    <w:p>
      <w:pPr>
        <w:pStyle w:val="ListBullet"/>
      </w:pPr>
      <w:r>
        <w:t>Business continuity procedures are documented and tested every six months.</w:t>
      </w:r>
    </w:p>
    <w:p>
      <w:pPr>
        <w:pStyle w:val="ListBullet"/>
      </w:pPr>
      <w:r>
        <w:t>Critical equipment has documented replacement plans.</w:t>
      </w:r>
    </w:p>
    <w:p>
      <w:pPr>
        <w:pStyle w:val="ListBullet"/>
      </w:pPr>
      <w:r>
        <w:t>Multi-factor authentication is enabled for all administrative accounts.</w:t>
      </w:r>
    </w:p>
    <w:p>
      <w:pPr>
        <w:pStyle w:val="ListBullet"/>
      </w:pPr>
      <w:r>
        <w:t>Critical data is backed up daily.</w:t>
      </w:r>
    </w:p>
    <w:p>
      <w:pPr>
        <w:pStyle w:val="ListBullet"/>
      </w:pPr>
      <w:r>
        <w:t>Backup restoration is tested monthly.</w:t>
      </w:r>
    </w:p>
    <w:p>
      <w:pPr>
        <w:pStyle w:val="ListBullet"/>
      </w:pPr>
      <w:r>
        <w:t>A formal incident-response plan exists.</w:t>
      </w:r>
    </w:p>
    <w:p>
      <w:pPr>
        <w:pStyle w:val="ListBullet"/>
      </w:pPr>
      <w:r>
        <w:t>Cybersecurity training occurs every six months.</w:t>
      </w:r>
    </w:p>
    <w:p>
      <w:pPr>
        <w:pStyle w:val="ListBullet"/>
      </w:pPr>
      <w:r>
        <w:t>Operating licenses and tax obligations are maintained.</w:t>
      </w:r>
    </w:p>
    <w:p>
      <w:pPr>
        <w:pStyle w:val="Heading1"/>
      </w:pPr>
      <w:r>
        <w:t>9. Controlled Test Assertions</w:t>
      </w:r>
    </w:p>
    <w:p>
      <w:r>
        <w:t>The following statements are intentionally explicit so that the document can be used to test extraction accuracy. The system should extract these values as evidence rather than inventing alternative values.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Test Fact</w:t>
            </w:r>
          </w:p>
        </w:tc>
        <w:tc>
          <w:tcPr>
            <w:tcW w:type="dxa" w:w="3312"/>
          </w:tcPr>
          <w:p>
            <w:r>
              <w:rPr>
                <w:b/>
              </w:rPr>
              <w:t>Expected Value</w:t>
            </w:r>
          </w:p>
        </w:tc>
        <w:tc>
          <w:tcPr>
            <w:tcW w:type="dxa" w:w="3312"/>
          </w:tcPr>
          <w:p>
            <w:r>
              <w:rPr>
                <w:b/>
              </w:rPr>
              <w:t>Risk Area</w:t>
            </w:r>
          </w:p>
        </w:tc>
      </w:tr>
      <w:tr>
        <w:tc>
          <w:tcPr>
            <w:tcW w:type="dxa" w:w="3312"/>
          </w:tcPr>
          <w:p>
            <w:r>
              <w:t>Annual revenue</w:t>
            </w:r>
          </w:p>
        </w:tc>
        <w:tc>
          <w:tcPr>
            <w:tcW w:type="dxa" w:w="3312"/>
          </w:tcPr>
          <w:p>
            <w:r>
              <w:t>RWF 500,000,000</w:t>
            </w:r>
          </w:p>
        </w:tc>
        <w:tc>
          <w:tcPr>
            <w:tcW w:type="dxa" w:w="3312"/>
          </w:tcPr>
          <w:p>
            <w:r>
              <w:t>Financial</w:t>
            </w:r>
          </w:p>
        </w:tc>
      </w:tr>
      <w:tr>
        <w:tc>
          <w:tcPr>
            <w:tcW w:type="dxa" w:w="3312"/>
          </w:tcPr>
          <w:p>
            <w:r>
              <w:t>Revenue change</w:t>
            </w:r>
          </w:p>
        </w:tc>
        <w:tc>
          <w:tcPr>
            <w:tcW w:type="dxa" w:w="3312"/>
          </w:tcPr>
          <w:p>
            <w:r>
              <w:t>0%</w:t>
            </w:r>
          </w:p>
        </w:tc>
        <w:tc>
          <w:tcPr>
            <w:tcW w:type="dxa" w:w="3312"/>
          </w:tcPr>
          <w:p>
            <w:r>
              <w:t>Financial</w:t>
            </w:r>
          </w:p>
        </w:tc>
      </w:tr>
      <w:tr>
        <w:tc>
          <w:tcPr>
            <w:tcW w:type="dxa" w:w="3312"/>
          </w:tcPr>
          <w:p>
            <w:r>
              <w:t>Debt</w:t>
            </w:r>
          </w:p>
        </w:tc>
        <w:tc>
          <w:tcPr>
            <w:tcW w:type="dxa" w:w="3312"/>
          </w:tcPr>
          <w:p>
            <w:r>
              <w:t>RWF 50,000,000</w:t>
            </w:r>
          </w:p>
        </w:tc>
        <w:tc>
          <w:tcPr>
            <w:tcW w:type="dxa" w:w="3312"/>
          </w:tcPr>
          <w:p>
            <w:r>
              <w:t>Financial</w:t>
            </w:r>
          </w:p>
        </w:tc>
      </w:tr>
      <w:tr>
        <w:tc>
          <w:tcPr>
            <w:tcW w:type="dxa" w:w="3312"/>
          </w:tcPr>
          <w:p>
            <w:r>
              <w:t>Cash coverage</w:t>
            </w:r>
          </w:p>
        </w:tc>
        <w:tc>
          <w:tcPr>
            <w:tcW w:type="dxa" w:w="3312"/>
          </w:tcPr>
          <w:p>
            <w:r>
              <w:t>12 months</w:t>
            </w:r>
          </w:p>
        </w:tc>
        <w:tc>
          <w:tcPr>
            <w:tcW w:type="dxa" w:w="3312"/>
          </w:tcPr>
          <w:p>
            <w:r>
              <w:t>Financial</w:t>
            </w:r>
          </w:p>
        </w:tc>
      </w:tr>
      <w:tr>
        <w:tc>
          <w:tcPr>
            <w:tcW w:type="dxa" w:w="3312"/>
          </w:tcPr>
          <w:p>
            <w:r>
              <w:t>Largest customer concentration</w:t>
            </w:r>
          </w:p>
        </w:tc>
        <w:tc>
          <w:tcPr>
            <w:tcW w:type="dxa" w:w="3312"/>
          </w:tcPr>
          <w:p>
            <w:r>
              <w:t>&lt;10%</w:t>
            </w:r>
          </w:p>
        </w:tc>
        <w:tc>
          <w:tcPr>
            <w:tcW w:type="dxa" w:w="3312"/>
          </w:tcPr>
          <w:p>
            <w:r>
              <w:t>Financial/Market</w:t>
            </w:r>
          </w:p>
        </w:tc>
      </w:tr>
      <w:tr>
        <w:tc>
          <w:tcPr>
            <w:tcW w:type="dxa" w:w="3312"/>
          </w:tcPr>
          <w:p>
            <w:r>
              <w:t>Largest supplier concentration</w:t>
            </w:r>
          </w:p>
        </w:tc>
        <w:tc>
          <w:tcPr>
            <w:tcW w:type="dxa" w:w="3312"/>
          </w:tcPr>
          <w:p>
            <w:r>
              <w:t>20%</w:t>
            </w:r>
          </w:p>
        </w:tc>
        <w:tc>
          <w:tcPr>
            <w:tcW w:type="dxa" w:w="3312"/>
          </w:tcPr>
          <w:p>
            <w:r>
              <w:t>Operational</w:t>
            </w:r>
          </w:p>
        </w:tc>
      </w:tr>
      <w:tr>
        <w:tc>
          <w:tcPr>
            <w:tcW w:type="dxa" w:w="3312"/>
          </w:tcPr>
          <w:p>
            <w:r>
              <w:t>Supplier interruptions</w:t>
            </w:r>
          </w:p>
        </w:tc>
        <w:tc>
          <w:tcPr>
            <w:tcW w:type="dxa" w:w="3312"/>
          </w:tcPr>
          <w:p>
            <w:r>
              <w:t>0 in previous 12 months</w:t>
            </w:r>
          </w:p>
        </w:tc>
        <w:tc>
          <w:tcPr>
            <w:tcW w:type="dxa" w:w="3312"/>
          </w:tcPr>
          <w:p>
            <w:r>
              <w:t>Operational</w:t>
            </w:r>
          </w:p>
        </w:tc>
      </w:tr>
      <w:tr>
        <w:tc>
          <w:tcPr>
            <w:tcW w:type="dxa" w:w="3312"/>
          </w:tcPr>
          <w:p>
            <w:r>
              <w:t>Alternative suppliers</w:t>
            </w:r>
          </w:p>
        </w:tc>
        <w:tc>
          <w:tcPr>
            <w:tcW w:type="dxa" w:w="3312"/>
          </w:tcPr>
          <w:p>
            <w:r>
              <w:t>Available</w:t>
            </w:r>
          </w:p>
        </w:tc>
        <w:tc>
          <w:tcPr>
            <w:tcW w:type="dxa" w:w="3312"/>
          </w:tcPr>
          <w:p>
            <w:r>
              <w:t>Operational</w:t>
            </w:r>
          </w:p>
        </w:tc>
      </w:tr>
      <w:tr>
        <w:tc>
          <w:tcPr>
            <w:tcW w:type="dxa" w:w="3312"/>
          </w:tcPr>
          <w:p>
            <w:r>
              <w:t>Business continuity testing</w:t>
            </w:r>
          </w:p>
        </w:tc>
        <w:tc>
          <w:tcPr>
            <w:tcW w:type="dxa" w:w="3312"/>
          </w:tcPr>
          <w:p>
            <w:r>
              <w:t>Every 6 months</w:t>
            </w:r>
          </w:p>
        </w:tc>
        <w:tc>
          <w:tcPr>
            <w:tcW w:type="dxa" w:w="3312"/>
          </w:tcPr>
          <w:p>
            <w:r>
              <w:t>Operational</w:t>
            </w:r>
          </w:p>
        </w:tc>
      </w:tr>
      <w:tr>
        <w:tc>
          <w:tcPr>
            <w:tcW w:type="dxa" w:w="3312"/>
          </w:tcPr>
          <w:p>
            <w:r>
              <w:t>Administrative MFA</w:t>
            </w:r>
          </w:p>
        </w:tc>
        <w:tc>
          <w:tcPr>
            <w:tcW w:type="dxa" w:w="3312"/>
          </w:tcPr>
          <w:p>
            <w:r>
              <w:t>Enabled</w:t>
            </w:r>
          </w:p>
        </w:tc>
        <w:tc>
          <w:tcPr>
            <w:tcW w:type="dxa" w:w="3312"/>
          </w:tcPr>
          <w:p>
            <w:r>
              <w:t>Technology</w:t>
            </w:r>
          </w:p>
        </w:tc>
      </w:tr>
      <w:tr>
        <w:tc>
          <w:tcPr>
            <w:tcW w:type="dxa" w:w="3312"/>
          </w:tcPr>
          <w:p>
            <w:r>
              <w:t>Backup frequency</w:t>
            </w:r>
          </w:p>
        </w:tc>
        <w:tc>
          <w:tcPr>
            <w:tcW w:type="dxa" w:w="3312"/>
          </w:tcPr>
          <w:p>
            <w:r>
              <w:t>Daily</w:t>
            </w:r>
          </w:p>
        </w:tc>
        <w:tc>
          <w:tcPr>
            <w:tcW w:type="dxa" w:w="3312"/>
          </w:tcPr>
          <w:p>
            <w:r>
              <w:t>Technology</w:t>
            </w:r>
          </w:p>
        </w:tc>
      </w:tr>
      <w:tr>
        <w:tc>
          <w:tcPr>
            <w:tcW w:type="dxa" w:w="3312"/>
          </w:tcPr>
          <w:p>
            <w:r>
              <w:t>Backup restoration testing</w:t>
            </w:r>
          </w:p>
        </w:tc>
        <w:tc>
          <w:tcPr>
            <w:tcW w:type="dxa" w:w="3312"/>
          </w:tcPr>
          <w:p>
            <w:r>
              <w:t>Monthly</w:t>
            </w:r>
          </w:p>
        </w:tc>
        <w:tc>
          <w:tcPr>
            <w:tcW w:type="dxa" w:w="3312"/>
          </w:tcPr>
          <w:p>
            <w:r>
              <w:t>Technology</w:t>
            </w:r>
          </w:p>
        </w:tc>
      </w:tr>
      <w:tr>
        <w:tc>
          <w:tcPr>
            <w:tcW w:type="dxa" w:w="3312"/>
          </w:tcPr>
          <w:p>
            <w:r>
              <w:t>Incident-response plan</w:t>
            </w:r>
          </w:p>
        </w:tc>
        <w:tc>
          <w:tcPr>
            <w:tcW w:type="dxa" w:w="3312"/>
          </w:tcPr>
          <w:p>
            <w:r>
              <w:t>Implemented</w:t>
            </w:r>
          </w:p>
        </w:tc>
        <w:tc>
          <w:tcPr>
            <w:tcW w:type="dxa" w:w="3312"/>
          </w:tcPr>
          <w:p>
            <w:r>
              <w:t>Technology</w:t>
            </w:r>
          </w:p>
        </w:tc>
      </w:tr>
      <w:tr>
        <w:tc>
          <w:tcPr>
            <w:tcW w:type="dxa" w:w="3312"/>
          </w:tcPr>
          <w:p>
            <w:r>
              <w:t>Cybersecurity training</w:t>
            </w:r>
          </w:p>
        </w:tc>
        <w:tc>
          <w:tcPr>
            <w:tcW w:type="dxa" w:w="3312"/>
          </w:tcPr>
          <w:p>
            <w:r>
              <w:t>Every 6 months</w:t>
            </w:r>
          </w:p>
        </w:tc>
        <w:tc>
          <w:tcPr>
            <w:tcW w:type="dxa" w:w="3312"/>
          </w:tcPr>
          <w:p>
            <w:r>
              <w:t>Technology</w:t>
            </w:r>
          </w:p>
        </w:tc>
      </w:tr>
      <w:tr>
        <w:tc>
          <w:tcPr>
            <w:tcW w:type="dxa" w:w="3312"/>
          </w:tcPr>
          <w:p>
            <w:r>
              <w:t>Largest product concentration</w:t>
            </w:r>
          </w:p>
        </w:tc>
        <w:tc>
          <w:tcPr>
            <w:tcW w:type="dxa" w:w="3312"/>
          </w:tcPr>
          <w:p>
            <w:r>
              <w:t>&lt;20%</w:t>
            </w:r>
          </w:p>
        </w:tc>
        <w:tc>
          <w:tcPr>
            <w:tcW w:type="dxa" w:w="3312"/>
          </w:tcPr>
          <w:p>
            <w:r>
              <w:t>Strategic</w:t>
            </w:r>
          </w:p>
        </w:tc>
      </w:tr>
      <w:tr>
        <w:tc>
          <w:tcPr>
            <w:tcW w:type="dxa" w:w="3312"/>
          </w:tcPr>
          <w:p>
            <w:r>
              <w:t>Major regulatory violations</w:t>
            </w:r>
          </w:p>
        </w:tc>
        <w:tc>
          <w:tcPr>
            <w:tcW w:type="dxa" w:w="3312"/>
          </w:tcPr>
          <w:p>
            <w:r>
              <w:t>0 in previous 24 months</w:t>
            </w:r>
          </w:p>
        </w:tc>
        <w:tc>
          <w:tcPr>
            <w:tcW w:type="dxa" w:w="3312"/>
          </w:tcPr>
          <w:p>
            <w:r>
              <w:t>Legal/Regulatory</w:t>
            </w:r>
          </w:p>
        </w:tc>
      </w:tr>
      <w:tr>
        <w:tc>
          <w:tcPr>
            <w:tcW w:type="dxa" w:w="3312"/>
          </w:tcPr>
          <w:p>
            <w:r>
              <w:t>Raw-material price increase</w:t>
            </w:r>
          </w:p>
        </w:tc>
        <w:tc>
          <w:tcPr>
            <w:tcW w:type="dxa" w:w="3312"/>
          </w:tcPr>
          <w:p>
            <w:r>
              <w:t>2%</w:t>
            </w:r>
          </w:p>
        </w:tc>
        <w:tc>
          <w:tcPr>
            <w:tcW w:type="dxa" w:w="3312"/>
          </w:tcPr>
          <w:p>
            <w:r>
              <w:t>Market</w:t>
            </w:r>
          </w:p>
        </w:tc>
      </w:tr>
      <w:tr>
        <w:tc>
          <w:tcPr>
            <w:tcW w:type="dxa" w:w="3312"/>
          </w:tcPr>
          <w:p>
            <w:r>
              <w:t>Largest-three-customer concentration</w:t>
            </w:r>
          </w:p>
        </w:tc>
        <w:tc>
          <w:tcPr>
            <w:tcW w:type="dxa" w:w="3312"/>
          </w:tcPr>
          <w:p>
            <w:r>
              <w:t>20%</w:t>
            </w:r>
          </w:p>
        </w:tc>
        <w:tc>
          <w:tcPr>
            <w:tcW w:type="dxa" w:w="3312"/>
          </w:tcPr>
          <w:p>
            <w:r>
              <w:t>Market</w:t>
            </w:r>
          </w:p>
        </w:tc>
      </w:tr>
    </w:tbl>
    <w:p>
      <w:pPr>
        <w:pStyle w:val="Heading1"/>
      </w:pPr>
      <w:r>
        <w:t>10. Test Handling Requirement</w:t>
      </w:r>
    </w:p>
    <w:p>
      <w:r>
        <w:t>This document is intentionally designed as a low-risk baseline case. If the configured risk rules interpret the stated evidence consistently, the system should identify no critical risk drivers. The exact numerical ERI must be produced by the configured deterministic risk rules; Gemini must not invent or override the numerical score.</w:t>
      </w:r>
    </w:p>
    <w:p/>
    <w:p>
      <w:pPr>
        <w:jc w:val="center"/>
      </w:pPr>
      <w:r>
        <w:rPr>
          <w:b/>
        </w:rPr>
        <w:t>END OF CONTROLLED TEST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CONTROLLED TEST DOCUMENT — ERIDSS SYSTEM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UMUCYO RETAIL SERVICES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