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BUSINESS PROFILE &amp; MANAGEMENT RISK INFORMATION</w:t>
      </w:r>
    </w:p>
    <w:p>
      <w:pPr>
        <w:jc w:val="center"/>
      </w:pPr>
      <w:r>
        <w:rPr>
          <w:i/>
          <w:sz w:val="20"/>
        </w:rPr>
        <w:t>Prepared for internal management review</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Document Reference</w:t>
            </w:r>
          </w:p>
        </w:tc>
        <w:tc>
          <w:tcPr>
            <w:tcW w:type="dxa" w:w="4968"/>
          </w:tcPr>
          <w:p>
            <w:r>
              <w:t>KMDL-BP-2026-08</w:t>
            </w:r>
          </w:p>
        </w:tc>
      </w:tr>
      <w:tr>
        <w:tc>
          <w:tcPr>
            <w:tcW w:type="dxa" w:w="4968"/>
          </w:tcPr>
          <w:p>
            <w:r>
              <w:rPr>
                <w:b/>
              </w:rPr>
              <w:t>Reporting Period</w:t>
            </w:r>
          </w:p>
        </w:tc>
        <w:tc>
          <w:tcPr>
            <w:tcW w:type="dxa" w:w="4968"/>
          </w:tcPr>
          <w:p>
            <w:r>
              <w:t>FY 2025/2026</w:t>
            </w:r>
          </w:p>
        </w:tc>
      </w:tr>
      <w:tr>
        <w:tc>
          <w:tcPr>
            <w:tcW w:type="dxa" w:w="4968"/>
          </w:tcPr>
          <w:p>
            <w:r>
              <w:rPr>
                <w:b/>
              </w:rPr>
              <w:t>Prepared By</w:t>
            </w:r>
          </w:p>
        </w:tc>
        <w:tc>
          <w:tcPr>
            <w:tcW w:type="dxa" w:w="4968"/>
          </w:tcPr>
          <w:p>
            <w:r>
              <w:t>Finance &amp; Operations Department</w:t>
            </w:r>
          </w:p>
        </w:tc>
      </w:tr>
      <w:tr>
        <w:tc>
          <w:tcPr>
            <w:tcW w:type="dxa" w:w="4968"/>
          </w:tcPr>
          <w:p>
            <w:r>
              <w:rPr>
                <w:b/>
              </w:rPr>
              <w:t>Organization</w:t>
            </w:r>
          </w:p>
        </w:tc>
        <w:tc>
          <w:tcPr>
            <w:tcW w:type="dxa" w:w="4968"/>
          </w:tcPr>
          <w:p>
            <w:r>
              <w:t>Kigali Manufacturing &amp; Distribution Ltd</w:t>
            </w:r>
          </w:p>
        </w:tc>
      </w:tr>
      <w:tr>
        <w:tc>
          <w:tcPr>
            <w:tcW w:type="dxa" w:w="4968"/>
          </w:tcPr>
          <w:p>
            <w:r>
              <w:rPr>
                <w:b/>
              </w:rPr>
              <w:t>Document Status</w:t>
            </w:r>
          </w:p>
        </w:tc>
        <w:tc>
          <w:tcPr>
            <w:tcW w:type="dxa" w:w="4968"/>
          </w:tcPr>
          <w:p>
            <w:r>
              <w:t>Internal Management Use</w:t>
            </w:r>
          </w:p>
        </w:tc>
      </w:tr>
    </w:tbl>
    <w:p>
      <w:pPr>
        <w:pStyle w:val="Heading1"/>
      </w:pPr>
      <w:r>
        <w:t>Executive Overview</w:t>
      </w:r>
    </w:p>
    <w:p>
      <w:r>
        <w:t>Kigali Manufacturing &amp; Distribution Ltd (KMDL) is a medium-sized Rwandan manufacturer and distributor of packaged consumer products. The company has operated for seven years and currently employs 85 people. Management remains confident in the company's core operations but has identified increasing exposure to supplier concentration, cash-flow pressure, cybersecurity weaknesses, customer concentration and competitive pricing pressure.</w:t>
      </w:r>
    </w:p>
    <w:p>
      <w:r>
        <w:t>The information in this document summarizes the company's current operating environment, financial position, strategic priorities, technology controls, contractual position and market conditions. It is intended to support management planning and internal risk review.</w:t>
      </w:r>
    </w:p>
    <w:p>
      <w:pPr>
        <w:pStyle w:val="Heading1"/>
      </w:pPr>
      <w:r>
        <w:t>1. Company Profile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Item</w:t>
            </w:r>
          </w:p>
        </w:tc>
        <w:tc>
          <w:tcPr>
            <w:tcW w:type="dxa" w:w="4968"/>
          </w:tcPr>
          <w:p>
            <w:r>
              <w:rPr>
                <w:b/>
              </w:rPr>
              <w:t>Current Position</w:t>
            </w:r>
          </w:p>
        </w:tc>
      </w:tr>
      <w:tr>
        <w:tc>
          <w:tcPr>
            <w:tcW w:type="dxa" w:w="4968"/>
          </w:tcPr>
          <w:p>
            <w:r>
              <w:t>Industry</w:t>
            </w:r>
          </w:p>
        </w:tc>
        <w:tc>
          <w:tcPr>
            <w:tcW w:type="dxa" w:w="4968"/>
          </w:tcPr>
          <w:p>
            <w:r>
              <w:t>Manufacturing and distribution</w:t>
            </w:r>
          </w:p>
        </w:tc>
      </w:tr>
      <w:tr>
        <w:tc>
          <w:tcPr>
            <w:tcW w:type="dxa" w:w="4968"/>
          </w:tcPr>
          <w:p>
            <w:r>
              <w:t>Primary Market</w:t>
            </w:r>
          </w:p>
        </w:tc>
        <w:tc>
          <w:tcPr>
            <w:tcW w:type="dxa" w:w="4968"/>
          </w:tcPr>
          <w:p>
            <w:r>
              <w:t>Rwanda</w:t>
            </w:r>
          </w:p>
        </w:tc>
      </w:tr>
      <w:tr>
        <w:tc>
          <w:tcPr>
            <w:tcW w:type="dxa" w:w="4968"/>
          </w:tcPr>
          <w:p>
            <w:r>
              <w:t>Employees</w:t>
            </w:r>
          </w:p>
        </w:tc>
        <w:tc>
          <w:tcPr>
            <w:tcW w:type="dxa" w:w="4968"/>
          </w:tcPr>
          <w:p>
            <w:r>
              <w:t>85</w:t>
            </w:r>
          </w:p>
        </w:tc>
      </w:tr>
      <w:tr>
        <w:tc>
          <w:tcPr>
            <w:tcW w:type="dxa" w:w="4968"/>
          </w:tcPr>
          <w:p>
            <w:r>
              <w:t>Years in Operation</w:t>
            </w:r>
          </w:p>
        </w:tc>
        <w:tc>
          <w:tcPr>
            <w:tcW w:type="dxa" w:w="4968"/>
          </w:tcPr>
          <w:p>
            <w:r>
              <w:t>7</w:t>
            </w:r>
          </w:p>
        </w:tc>
      </w:tr>
      <w:tr>
        <w:tc>
          <w:tcPr>
            <w:tcW w:type="dxa" w:w="4968"/>
          </w:tcPr>
          <w:p>
            <w:r>
              <w:t>Annual Revenue</w:t>
            </w:r>
          </w:p>
        </w:tc>
        <w:tc>
          <w:tcPr>
            <w:tcW w:type="dxa" w:w="4968"/>
          </w:tcPr>
          <w:p>
            <w:r>
              <w:t>Approximately RWF 1.2 billion</w:t>
            </w:r>
          </w:p>
        </w:tc>
      </w:tr>
      <w:tr>
        <w:tc>
          <w:tcPr>
            <w:tcW w:type="dxa" w:w="4968"/>
          </w:tcPr>
          <w:p>
            <w:r>
              <w:t>Main Products</w:t>
            </w:r>
          </w:p>
        </w:tc>
        <w:tc>
          <w:tcPr>
            <w:tcW w:type="dxa" w:w="4968"/>
          </w:tcPr>
          <w:p>
            <w:r>
              <w:t>Packaged consumer products</w:t>
            </w:r>
          </w:p>
        </w:tc>
      </w:tr>
      <w:tr>
        <w:tc>
          <w:tcPr>
            <w:tcW w:type="dxa" w:w="4968"/>
          </w:tcPr>
          <w:p>
            <w:r>
              <w:t>Distribution Channels</w:t>
            </w:r>
          </w:p>
        </w:tc>
        <w:tc>
          <w:tcPr>
            <w:tcW w:type="dxa" w:w="4968"/>
          </w:tcPr>
          <w:p>
            <w:r>
              <w:t>Supermarkets, wholesalers and direct business customers</w:t>
            </w:r>
          </w:p>
        </w:tc>
      </w:tr>
    </w:tbl>
    <w:p>
      <w:pPr>
        <w:pStyle w:val="Heading1"/>
      </w:pPr>
      <w:r>
        <w:t>2. Financial Performance and Position</w:t>
      </w:r>
    </w:p>
    <w:p>
      <w:r>
        <w:t>Revenue for the reporting period was approximately RWF 1.2 billion, representing an estimated 18% decrease compared with the previous financial year. Management attributes the decline primarily to increased market competition and pricing pressure.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Financial Indicator</w:t>
            </w:r>
          </w:p>
        </w:tc>
        <w:tc>
          <w:tcPr>
            <w:tcW w:type="dxa" w:w="3312"/>
          </w:tcPr>
          <w:p>
            <w:r>
              <w:rPr>
                <w:b/>
              </w:rPr>
              <w:t>Current Position</w:t>
            </w:r>
          </w:p>
        </w:tc>
        <w:tc>
          <w:tcPr>
            <w:tcW w:type="dxa" w:w="3312"/>
          </w:tcPr>
          <w:p>
            <w:r>
              <w:rPr>
                <w:b/>
              </w:rPr>
              <w:t>Management Observation</w:t>
            </w:r>
          </w:p>
        </w:tc>
      </w:tr>
      <w:tr>
        <w:tc>
          <w:tcPr>
            <w:tcW w:type="dxa" w:w="3312"/>
          </w:tcPr>
          <w:p>
            <w:r>
              <w:t>Annual revenue</w:t>
            </w:r>
          </w:p>
        </w:tc>
        <w:tc>
          <w:tcPr>
            <w:tcW w:type="dxa" w:w="3312"/>
          </w:tcPr>
          <w:p>
            <w:r>
              <w:t>RWF 1.2 billion</w:t>
            </w:r>
          </w:p>
        </w:tc>
        <w:tc>
          <w:tcPr>
            <w:tcW w:type="dxa" w:w="3312"/>
          </w:tcPr>
          <w:p>
            <w:r>
              <w:t>Down approximately 18% year-on-year</w:t>
            </w:r>
          </w:p>
        </w:tc>
      </w:tr>
      <w:tr>
        <w:tc>
          <w:tcPr>
            <w:tcW w:type="dxa" w:w="3312"/>
          </w:tcPr>
          <w:p>
            <w:r>
              <w:t>Outstanding debt</w:t>
            </w:r>
          </w:p>
        </w:tc>
        <w:tc>
          <w:tcPr>
            <w:tcW w:type="dxa" w:w="3312"/>
          </w:tcPr>
          <w:p>
            <w:r>
              <w:t>RWF 420 million</w:t>
            </w:r>
          </w:p>
        </w:tc>
        <w:tc>
          <w:tcPr>
            <w:tcW w:type="dxa" w:w="3312"/>
          </w:tcPr>
          <w:p>
            <w:r>
              <w:t>Requires regular servicing</w:t>
            </w:r>
          </w:p>
        </w:tc>
      </w:tr>
      <w:tr>
        <w:tc>
          <w:tcPr>
            <w:tcW w:type="dxa" w:w="3312"/>
          </w:tcPr>
          <w:p>
            <w:r>
              <w:t>Monthly operating expenses</w:t>
            </w:r>
          </w:p>
        </w:tc>
        <w:tc>
          <w:tcPr>
            <w:tcW w:type="dxa" w:w="3312"/>
          </w:tcPr>
          <w:p>
            <w:r>
              <w:t>RWF 82 million</w:t>
            </w:r>
          </w:p>
        </w:tc>
        <w:tc>
          <w:tcPr>
            <w:tcW w:type="dxa" w:w="3312"/>
          </w:tcPr>
          <w:p>
            <w:r>
              <w:t>High fixed operating requirement</w:t>
            </w:r>
          </w:p>
        </w:tc>
      </w:tr>
      <w:tr>
        <w:tc>
          <w:tcPr>
            <w:tcW w:type="dxa" w:w="3312"/>
          </w:tcPr>
          <w:p>
            <w:r>
              <w:t>Cash coverage</w:t>
            </w:r>
          </w:p>
        </w:tc>
        <w:tc>
          <w:tcPr>
            <w:tcW w:type="dxa" w:w="3312"/>
          </w:tcPr>
          <w:p>
            <w:r>
              <w:t>Approximately 1.5 months</w:t>
            </w:r>
          </w:p>
        </w:tc>
        <w:tc>
          <w:tcPr>
            <w:tcW w:type="dxa" w:w="3312"/>
          </w:tcPr>
          <w:p>
            <w:r>
              <w:t>Limited emergency liquidity</w:t>
            </w:r>
          </w:p>
        </w:tc>
      </w:tr>
      <w:tr>
        <w:tc>
          <w:tcPr>
            <w:tcW w:type="dxa" w:w="3312"/>
          </w:tcPr>
          <w:p>
            <w:r>
              <w:t>Revenue concentration</w:t>
            </w:r>
          </w:p>
        </w:tc>
        <w:tc>
          <w:tcPr>
            <w:tcW w:type="dxa" w:w="3312"/>
          </w:tcPr>
          <w:p>
            <w:r>
              <w:t>48% from three largest customers</w:t>
            </w:r>
          </w:p>
        </w:tc>
        <w:tc>
          <w:tcPr>
            <w:tcW w:type="dxa" w:w="3312"/>
          </w:tcPr>
          <w:p>
            <w:r>
              <w:t>Material concentration</w:t>
            </w:r>
          </w:p>
        </w:tc>
      </w:tr>
      <w:tr>
        <w:tc>
          <w:tcPr>
            <w:tcW w:type="dxa" w:w="3312"/>
          </w:tcPr>
          <w:p>
            <w:r>
              <w:t>Emergency reserve policy</w:t>
            </w:r>
          </w:p>
        </w:tc>
        <w:tc>
          <w:tcPr>
            <w:tcW w:type="dxa" w:w="3312"/>
          </w:tcPr>
          <w:p>
            <w:r>
              <w:t>Not formally established</w:t>
            </w:r>
          </w:p>
        </w:tc>
        <w:tc>
          <w:tcPr>
            <w:tcW w:type="dxa" w:w="3312"/>
          </w:tcPr>
          <w:p>
            <w:r>
              <w:t>Management review required</w:t>
            </w:r>
          </w:p>
        </w:tc>
      </w:tr>
    </w:tbl>
    <w:p>
      <w:pPr>
        <w:pStyle w:val="Heading1"/>
      </w:pPr>
      <w:r>
        <w:t>3. Procurement and Operations</w:t>
      </w:r>
    </w:p>
    <w:p>
      <w:r>
        <w:t>The company relies heavily on a single supplier for its most important raw material. Approximately 87% of primary raw-material purchases are sourced from this supplier. No fully qualified alternative supplier is currently available for the material.</w:t>
      </w:r>
    </w:p>
    <w:p>
      <w:r>
        <w:t>During the previous twelve months, the company experienced two significant supplier delays. One interruption resulted in a five-day production stoppage. Management has not yet completed a formal supplier diversification program.</w:t>
      </w:r>
    </w:p>
    <w:p>
      <w:r>
        <w:t>Production also depends on two specialized machines. One of these machines has no documented replacement or contingency plan. A business continuity document exists, but it has not been tested during the last 24 months.</w:t>
      </w:r>
    </w:p>
    <w:p>
      <w:pPr>
        <w:pStyle w:val="Heading1"/>
      </w:pPr>
      <w:r>
        <w:t>4. Technology and Information Security</w:t>
      </w:r>
    </w:p>
    <w:p>
      <w:r>
        <w:t>KMDL uses a cloud-based accounting and inventory platform for critical business activities. The organization has basic user access controls and antivirus protection; however, several technology control gaps remain.</w:t>
      </w:r>
    </w:p>
    <w:tbl>
      <w:tblPr>
        <w:tblStyle w:val="TableGrid"/>
        <w:tblW w:type="auto" w:w="0"/>
        <w:tblLook w:firstColumn="1" w:firstRow="1" w:lastColumn="0" w:lastRow="0" w:noHBand="0" w:noVBand="1" w:val="04A0"/>
      </w:tblPr>
      <w:tblGrid>
        <w:gridCol w:w="4968"/>
        <w:gridCol w:w="4968"/>
      </w:tblGrid>
      <w:tr>
        <w:tc>
          <w:tcPr>
            <w:tcW w:type="dxa" w:w="4968"/>
          </w:tcPr>
          <w:p>
            <w:r>
              <w:rPr>
                <w:b/>
              </w:rPr>
              <w:t>Control Area</w:t>
            </w:r>
          </w:p>
        </w:tc>
        <w:tc>
          <w:tcPr>
            <w:tcW w:type="dxa" w:w="4968"/>
          </w:tcPr>
          <w:p>
            <w:r>
              <w:rPr>
                <w:b/>
              </w:rPr>
              <w:t>Current Position</w:t>
            </w:r>
          </w:p>
        </w:tc>
      </w:tr>
      <w:tr>
        <w:tc>
          <w:tcPr>
            <w:tcW w:type="dxa" w:w="4968"/>
          </w:tcPr>
          <w:p>
            <w:r>
              <w:t>Multi-factor authentication</w:t>
            </w:r>
          </w:p>
        </w:tc>
        <w:tc>
          <w:tcPr>
            <w:tcW w:type="dxa" w:w="4968"/>
          </w:tcPr>
          <w:p>
            <w:r>
              <w:t>Not enabled for administrative accounts</w:t>
            </w:r>
          </w:p>
        </w:tc>
      </w:tr>
      <w:tr>
        <w:tc>
          <w:tcPr>
            <w:tcW w:type="dxa" w:w="4968"/>
          </w:tcPr>
          <w:p>
            <w:r>
              <w:t>Critical data backup</w:t>
            </w:r>
          </w:p>
        </w:tc>
        <w:tc>
          <w:tcPr>
            <w:tcW w:type="dxa" w:w="4968"/>
          </w:tcPr>
          <w:p>
            <w:r>
              <w:t>Manual backup approximately every two weeks</w:t>
            </w:r>
          </w:p>
        </w:tc>
      </w:tr>
      <w:tr>
        <w:tc>
          <w:tcPr>
            <w:tcW w:type="dxa" w:w="4968"/>
          </w:tcPr>
          <w:p>
            <w:r>
              <w:t>Backup restoration testing</w:t>
            </w:r>
          </w:p>
        </w:tc>
        <w:tc>
          <w:tcPr>
            <w:tcW w:type="dxa" w:w="4968"/>
          </w:tcPr>
          <w:p>
            <w:r>
              <w:t>Not performed regularly</w:t>
            </w:r>
          </w:p>
        </w:tc>
      </w:tr>
      <w:tr>
        <w:tc>
          <w:tcPr>
            <w:tcW w:type="dxa" w:w="4968"/>
          </w:tcPr>
          <w:p>
            <w:r>
              <w:t>Cybersecurity training</w:t>
            </w:r>
          </w:p>
        </w:tc>
        <w:tc>
          <w:tcPr>
            <w:tcW w:type="dxa" w:w="4968"/>
          </w:tcPr>
          <w:p>
            <w:r>
              <w:t>Irregular; no documented annual schedule</w:t>
            </w:r>
          </w:p>
        </w:tc>
      </w:tr>
      <w:tr>
        <w:tc>
          <w:tcPr>
            <w:tcW w:type="dxa" w:w="4968"/>
          </w:tcPr>
          <w:p>
            <w:r>
              <w:t>Incident response</w:t>
            </w:r>
          </w:p>
        </w:tc>
        <w:tc>
          <w:tcPr>
            <w:tcW w:type="dxa" w:w="4968"/>
          </w:tcPr>
          <w:p>
            <w:r>
              <w:t>No formal incident-response plan</w:t>
            </w:r>
          </w:p>
        </w:tc>
      </w:tr>
      <w:tr>
        <w:tc>
          <w:tcPr>
            <w:tcW w:type="dxa" w:w="4968"/>
          </w:tcPr>
          <w:p>
            <w:r>
              <w:t>Antivirus</w:t>
            </w:r>
          </w:p>
        </w:tc>
        <w:tc>
          <w:tcPr>
            <w:tcW w:type="dxa" w:w="4968"/>
          </w:tcPr>
          <w:p>
            <w:r>
              <w:t>Implemented</w:t>
            </w:r>
          </w:p>
        </w:tc>
      </w:tr>
      <w:tr>
        <w:tc>
          <w:tcPr>
            <w:tcW w:type="dxa" w:w="4968"/>
          </w:tcPr>
          <w:p>
            <w:r>
              <w:t>User access controls</w:t>
            </w:r>
          </w:p>
        </w:tc>
        <w:tc>
          <w:tcPr>
            <w:tcW w:type="dxa" w:w="4968"/>
          </w:tcPr>
          <w:p>
            <w:r>
              <w:t>Basic controls implemented</w:t>
            </w:r>
          </w:p>
        </w:tc>
      </w:tr>
    </w:tbl>
    <w:p>
      <w:pPr>
        <w:pStyle w:val="Heading1"/>
      </w:pPr>
      <w:r>
        <w:t>5. Strategy and Business Development</w:t>
      </w:r>
    </w:p>
    <w:p>
      <w:r>
        <w:t>Approximately 62% of company revenue is generated from one main product category. The company maintains a three-year growth plan, but quarterly measurable strategic performance indicators have not yet been formally defined.</w:t>
      </w:r>
    </w:p>
    <w:p>
      <w:r>
        <w:t>Competitors have recently introduced lower-priced alternatives within the company's largest market segment. Management is monitoring the effect on customer retention and margins.</w:t>
      </w:r>
    </w:p>
    <w:p>
      <w:pPr>
        <w:pStyle w:val="Heading1"/>
      </w:pPr>
      <w:r>
        <w:t>6. Legal, Contractual and Regulatory Position</w:t>
      </w:r>
    </w:p>
    <w:p>
      <w:r>
        <w:t>The company maintains its required operating licenses and normally completes required tax filings. No major regulatory violation has been recorded during the previous 24 months.</w:t>
      </w:r>
    </w:p>
    <w:p>
      <w:r>
        <w:t>Three major supplier contracts are scheduled for renewal within the next six months. One supplier contract does not contain a clearly defined service-level agreement covering delivery delays.</w:t>
      </w:r>
    </w:p>
    <w:p>
      <w:pPr>
        <w:pStyle w:val="Heading1"/>
      </w:pPr>
      <w:r>
        <w:t>7. Market Conditions</w:t>
      </w:r>
    </w:p>
    <w:p>
      <w:r>
        <w:t>KMDL operates in a competitive market with approximately twelve significant competitors. Customers are increasingly requesting lower prices and longer payment periods. Approximately 48% of annual revenue is generated by the three largest customers.</w:t>
      </w:r>
    </w:p>
    <w:p>
      <w:r>
        <w:t>Raw-material prices increased by approximately 14% during the previous year, creating additional pressure on production costs and operating margins.</w:t>
      </w:r>
    </w:p>
    <w:p>
      <w:pPr>
        <w:pStyle w:val="Heading1"/>
      </w:pPr>
      <w:r>
        <w:t>8. Existing Risk Controls</w:t>
      </w:r>
    </w:p>
    <w:p>
      <w:pPr>
        <w:pStyle w:val="ListBullet"/>
      </w:pPr>
      <w:r>
        <w:t>Monthly financial reporting and basic accounting controls are in place.</w:t>
      </w:r>
    </w:p>
    <w:p>
      <w:pPr>
        <w:pStyle w:val="ListBullet"/>
      </w:pPr>
      <w:r>
        <w:t>Major suppliers are reviewed by management on a quarterly basis.</w:t>
      </w:r>
    </w:p>
    <w:p>
      <w:pPr>
        <w:pStyle w:val="ListBullet"/>
      </w:pPr>
      <w:r>
        <w:t>Basic user access controls and antivirus protection are implemented.</w:t>
      </w:r>
    </w:p>
    <w:p>
      <w:pPr>
        <w:pStyle w:val="ListBullet"/>
      </w:pPr>
      <w:r>
        <w:t>Insurance covers selected physical business assets.</w:t>
      </w:r>
    </w:p>
    <w:p>
      <w:pPr>
        <w:pStyle w:val="ListBullet"/>
      </w:pPr>
      <w:r>
        <w:t>A business continuity document exists, although it has not been tested during the last 24 months.</w:t>
      </w:r>
    </w:p>
    <w:p>
      <w:pPr>
        <w:pStyle w:val="ListBullet"/>
      </w:pPr>
      <w:r>
        <w:t>Management has identified supplier dependency and cybersecurity as priority concerns, but no formal mitigation program has yet been implemented.</w:t>
      </w:r>
    </w:p>
    <w:p>
      <w:pPr>
        <w:pStyle w:val="Heading1"/>
      </w:pPr>
      <w:r>
        <w:t>9. Management Priorities for the Next 3–6 Months</w:t>
      </w:r>
    </w:p>
    <w:p>
      <w:pPr>
        <w:pStyle w:val="ListNumber"/>
      </w:pPr>
      <w:r>
        <w:t>Reduce dependency on the primary raw-material supplier and qualify alternative suppliers.</w:t>
      </w:r>
    </w:p>
    <w:p>
      <w:pPr>
        <w:pStyle w:val="ListNumber"/>
      </w:pPr>
      <w:r>
        <w:t>Strengthen liquidity planning and establish a formal emergency cash-reserve policy.</w:t>
      </w:r>
    </w:p>
    <w:p>
      <w:pPr>
        <w:pStyle w:val="ListNumber"/>
      </w:pPr>
      <w:r>
        <w:t>Implement multi-factor authentication for administrative accounts.</w:t>
      </w:r>
    </w:p>
    <w:p>
      <w:pPr>
        <w:pStyle w:val="ListNumber"/>
      </w:pPr>
      <w:r>
        <w:t>Introduce reliable automated backups and test restoration procedures.</w:t>
      </w:r>
    </w:p>
    <w:p>
      <w:pPr>
        <w:pStyle w:val="ListNumber"/>
      </w:pPr>
      <w:r>
        <w:t>Develop and test a formal incident-response and business-continuity process.</w:t>
      </w:r>
    </w:p>
    <w:p>
      <w:pPr>
        <w:pStyle w:val="ListNumber"/>
      </w:pPr>
      <w:r>
        <w:t>Review major customer concentration and product-category dependency.</w:t>
      </w:r>
    </w:p>
    <w:p>
      <w:pPr>
        <w:pStyle w:val="ListNumber"/>
      </w:pPr>
      <w:r>
        <w:t>Review supplier contracts approaching renewal and strengthen delivery obligations where appropriate.</w:t>
      </w:r>
    </w:p>
    <w:p>
      <w:pPr>
        <w:pStyle w:val="Heading1"/>
      </w:pPr>
      <w:r>
        <w:t>10. Management Statement</w:t>
      </w:r>
    </w:p>
    <w:p>
      <w:r>
        <w:t>Management considers the business capable of continuing under normal operating conditions. However, the concentration of suppliers and customers, limited cash coverage, cybersecurity control gaps and increasing competitive pressure could materially affect operations if not addressed. Management therefore intends to prioritize risk-reduction measures during the next three to six months.</w:t>
      </w:r>
    </w:p>
    <w:p>
      <w:pPr>
        <w:pStyle w:val="Heading1"/>
      </w:pPr>
      <w:r>
        <w:t>Appendix A — Key Quantitative Evidence</w:t>
      </w:r>
    </w:p>
    <w:tbl>
      <w:tblPr>
        <w:tblStyle w:val="TableGrid"/>
        <w:tblW w:type="auto" w:w="0"/>
        <w:tblLook w:firstColumn="1" w:firstRow="1" w:lastColumn="0" w:lastRow="0" w:noHBand="0" w:noVBand="1" w:val="04A0"/>
      </w:tblPr>
      <w:tblGrid>
        <w:gridCol w:w="4968"/>
        <w:gridCol w:w="4968"/>
      </w:tblGrid>
      <w:tr>
        <w:tc>
          <w:tcPr>
            <w:tcW w:type="dxa" w:w="4968"/>
          </w:tcPr>
          <w:p>
            <w:r>
              <w:rPr>
                <w:b/>
              </w:rPr>
              <w:t>Metric</w:t>
            </w:r>
          </w:p>
        </w:tc>
        <w:tc>
          <w:tcPr>
            <w:tcW w:type="dxa" w:w="4968"/>
          </w:tcPr>
          <w:p>
            <w:r>
              <w:rPr>
                <w:b/>
              </w:rPr>
              <w:t>Value</w:t>
            </w:r>
          </w:p>
        </w:tc>
      </w:tr>
      <w:tr>
        <w:tc>
          <w:tcPr>
            <w:tcW w:type="dxa" w:w="4968"/>
          </w:tcPr>
          <w:p>
            <w:r>
              <w:t>Employees</w:t>
            </w:r>
          </w:p>
        </w:tc>
        <w:tc>
          <w:tcPr>
            <w:tcW w:type="dxa" w:w="4968"/>
          </w:tcPr>
          <w:p>
            <w:r>
              <w:t>85</w:t>
            </w:r>
          </w:p>
        </w:tc>
      </w:tr>
      <w:tr>
        <w:tc>
          <w:tcPr>
            <w:tcW w:type="dxa" w:w="4968"/>
          </w:tcPr>
          <w:p>
            <w:r>
              <w:t>Annual revenue</w:t>
            </w:r>
          </w:p>
        </w:tc>
        <w:tc>
          <w:tcPr>
            <w:tcW w:type="dxa" w:w="4968"/>
          </w:tcPr>
          <w:p>
            <w:r>
              <w:t>RWF 1.2 billion</w:t>
            </w:r>
          </w:p>
        </w:tc>
      </w:tr>
      <w:tr>
        <w:tc>
          <w:tcPr>
            <w:tcW w:type="dxa" w:w="4968"/>
          </w:tcPr>
          <w:p>
            <w:r>
              <w:t>Revenue change</w:t>
            </w:r>
          </w:p>
        </w:tc>
        <w:tc>
          <w:tcPr>
            <w:tcW w:type="dxa" w:w="4968"/>
          </w:tcPr>
          <w:p>
            <w:r>
              <w:t>-18%</w:t>
            </w:r>
          </w:p>
        </w:tc>
      </w:tr>
      <w:tr>
        <w:tc>
          <w:tcPr>
            <w:tcW w:type="dxa" w:w="4968"/>
          </w:tcPr>
          <w:p>
            <w:r>
              <w:t>Outstanding debt</w:t>
            </w:r>
          </w:p>
        </w:tc>
        <w:tc>
          <w:tcPr>
            <w:tcW w:type="dxa" w:w="4968"/>
          </w:tcPr>
          <w:p>
            <w:r>
              <w:t>RWF 420 million</w:t>
            </w:r>
          </w:p>
        </w:tc>
      </w:tr>
      <w:tr>
        <w:tc>
          <w:tcPr>
            <w:tcW w:type="dxa" w:w="4968"/>
          </w:tcPr>
          <w:p>
            <w:r>
              <w:t>Monthly operating expenses</w:t>
            </w:r>
          </w:p>
        </w:tc>
        <w:tc>
          <w:tcPr>
            <w:tcW w:type="dxa" w:w="4968"/>
          </w:tcPr>
          <w:p>
            <w:r>
              <w:t>RWF 82 million</w:t>
            </w:r>
          </w:p>
        </w:tc>
      </w:tr>
      <w:tr>
        <w:tc>
          <w:tcPr>
            <w:tcW w:type="dxa" w:w="4968"/>
          </w:tcPr>
          <w:p>
            <w:r>
              <w:t>Cash coverage</w:t>
            </w:r>
          </w:p>
        </w:tc>
        <w:tc>
          <w:tcPr>
            <w:tcW w:type="dxa" w:w="4968"/>
          </w:tcPr>
          <w:p>
            <w:r>
              <w:t>1.5 months</w:t>
            </w:r>
          </w:p>
        </w:tc>
      </w:tr>
      <w:tr>
        <w:tc>
          <w:tcPr>
            <w:tcW w:type="dxa" w:w="4968"/>
          </w:tcPr>
          <w:p>
            <w:r>
              <w:t>Largest-customer concentration</w:t>
            </w:r>
          </w:p>
        </w:tc>
        <w:tc>
          <w:tcPr>
            <w:tcW w:type="dxa" w:w="4968"/>
          </w:tcPr>
          <w:p>
            <w:r>
              <w:t>48% from top three customers</w:t>
            </w:r>
          </w:p>
        </w:tc>
      </w:tr>
      <w:tr>
        <w:tc>
          <w:tcPr>
            <w:tcW w:type="dxa" w:w="4968"/>
          </w:tcPr>
          <w:p>
            <w:r>
              <w:t>Primary supplier concentration</w:t>
            </w:r>
          </w:p>
        </w:tc>
        <w:tc>
          <w:tcPr>
            <w:tcW w:type="dxa" w:w="4968"/>
          </w:tcPr>
          <w:p>
            <w:r>
              <w:t>87%</w:t>
            </w:r>
          </w:p>
        </w:tc>
      </w:tr>
      <w:tr>
        <w:tc>
          <w:tcPr>
            <w:tcW w:type="dxa" w:w="4968"/>
          </w:tcPr>
          <w:p>
            <w:r>
              <w:t>Supplier interruptions</w:t>
            </w:r>
          </w:p>
        </w:tc>
        <w:tc>
          <w:tcPr>
            <w:tcW w:type="dxa" w:w="4968"/>
          </w:tcPr>
          <w:p>
            <w:r>
              <w:t>2 in previous 12 months</w:t>
            </w:r>
          </w:p>
        </w:tc>
      </w:tr>
      <w:tr>
        <w:tc>
          <w:tcPr>
            <w:tcW w:type="dxa" w:w="4968"/>
          </w:tcPr>
          <w:p>
            <w:r>
              <w:t>Longest recent production interruption</w:t>
            </w:r>
          </w:p>
        </w:tc>
        <w:tc>
          <w:tcPr>
            <w:tcW w:type="dxa" w:w="4968"/>
          </w:tcPr>
          <w:p>
            <w:r>
              <w:t>5 days</w:t>
            </w:r>
          </w:p>
        </w:tc>
      </w:tr>
      <w:tr>
        <w:tc>
          <w:tcPr>
            <w:tcW w:type="dxa" w:w="4968"/>
          </w:tcPr>
          <w:p>
            <w:r>
              <w:t>Main product-category concentration</w:t>
            </w:r>
          </w:p>
        </w:tc>
        <w:tc>
          <w:tcPr>
            <w:tcW w:type="dxa" w:w="4968"/>
          </w:tcPr>
          <w:p>
            <w:r>
              <w:t>62%</w:t>
            </w:r>
          </w:p>
        </w:tc>
      </w:tr>
      <w:tr>
        <w:tc>
          <w:tcPr>
            <w:tcW w:type="dxa" w:w="4968"/>
          </w:tcPr>
          <w:p>
            <w:r>
              <w:t>Competitors</w:t>
            </w:r>
          </w:p>
        </w:tc>
        <w:tc>
          <w:tcPr>
            <w:tcW w:type="dxa" w:w="4968"/>
          </w:tcPr>
          <w:p>
            <w:r>
              <w:t>Approximately 12 significant competitors</w:t>
            </w:r>
          </w:p>
        </w:tc>
      </w:tr>
      <w:tr>
        <w:tc>
          <w:tcPr>
            <w:tcW w:type="dxa" w:w="4968"/>
          </w:tcPr>
          <w:p>
            <w:r>
              <w:t>Raw-material price increase</w:t>
            </w:r>
          </w:p>
        </w:tc>
        <w:tc>
          <w:tcPr>
            <w:tcW w:type="dxa" w:w="4968"/>
          </w:tcPr>
          <w:p>
            <w:r>
              <w:t>14%</w:t>
            </w:r>
          </w:p>
        </w:tc>
      </w:tr>
      <w:tr>
        <w:tc>
          <w:tcPr>
            <w:tcW w:type="dxa" w:w="4968"/>
          </w:tcPr>
          <w:p>
            <w:r>
              <w:t>Major supplier contracts for renewal</w:t>
            </w:r>
          </w:p>
        </w:tc>
        <w:tc>
          <w:tcPr>
            <w:tcW w:type="dxa" w:w="4968"/>
          </w:tcPr>
          <w:p>
            <w:r>
              <w:t>3 within six months</w:t>
            </w:r>
          </w:p>
        </w:tc>
      </w:tr>
    </w:tbl>
    <w:p/>
    <w:p>
      <w:pPr>
        <w:jc w:val="center"/>
      </w:pPr>
      <w:r>
        <w:rPr>
          <w:b/>
        </w:rPr>
        <w:t>End of document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 Internal Business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KIGALI MANUFACTURING &amp; DISTRIBUTION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