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1A49"/>
          <w:sz w:val="40"/>
        </w:rPr>
        <w:t>CLIENT FINANCIAL &amp; OPERATIONAL ASSESSMENT DOSSIER</w:t>
      </w:r>
    </w:p>
    <w:p>
      <w:pPr>
        <w:spacing w:after="280"/>
      </w:pPr>
      <w:r>
        <w:rPr>
          <w:rFonts w:ascii="Calibri" w:hAnsi="Calibri"/>
          <w:b/>
          <w:color w:val="B46400"/>
          <w:sz w:val="22"/>
        </w:rPr>
        <w:t>Individual Sole Trader &amp; Borrower Assessment Review | Fiscal Year 2025–2026</w:t>
      </w:r>
    </w:p>
    <w:p>
      <w:pPr>
        <w:spacing w:after="280"/>
        <w:pBrd>
          <w:bottom w:val="single" w:sz="18" w:space="1" w:color="001A49"/>
        </w:pBrd>
      </w:pPr>
    </w:p>
    <w:tbl>
      <w:tblPr>
        <w:tblW w:type="auto" w:w="0"/>
        <w:jc w:val="center"/>
        <w:tblLook w:firstColumn="1" w:firstRow="1" w:lastColumn="0" w:lastRow="0" w:noHBand="0" w:noVBand="1" w:val="04A0"/>
      </w:tblPr>
      <w:tblGrid>
        <w:gridCol w:w="5040"/>
        <w:gridCol w:w="5040"/>
      </w:tblGrid>
      <w:tr>
        <w:tc>
          <w:tcPr>
            <w:tcW w:type="dxa" w:w="5040"/>
            <w:shd w:fill="F3F4F6"/>
            <w:tcMar>
              <w:top w:w="80" w:type="dxa"/>
              <w:bottom w:w="80" w:type="dxa"/>
              <w:left w:w="120" w:type="dxa"/>
              <w:right w:w="120" w:type="dxa"/>
            </w:tcMar>
          </w:tcPr>
          <w:p>
            <w:r>
              <w:rPr>
                <w:b/>
                <w:color w:val="001A49"/>
                <w:sz w:val="19"/>
              </w:rPr>
              <w:t>Assessment Target:</w:t>
            </w:r>
            <w:r>
              <w:rPr>
                <w:sz w:val="19"/>
              </w:rPr>
              <w:t xml:space="preserve"> Individual Retail Borrower / Sole Trader</w:t>
            </w:r>
          </w:p>
        </w:tc>
        <w:tc>
          <w:tcPr>
            <w:tcW w:type="dxa" w:w="5040"/>
            <w:shd w:fill="F3F4F6"/>
            <w:tcMar>
              <w:top w:w="80" w:type="dxa"/>
              <w:bottom w:w="80" w:type="dxa"/>
              <w:left w:w="120" w:type="dxa"/>
              <w:right w:w="120" w:type="dxa"/>
            </w:tcMar>
          </w:tcPr>
          <w:p>
            <w:r>
              <w:rPr>
                <w:b/>
                <w:color w:val="001A49"/>
                <w:sz w:val="19"/>
              </w:rPr>
              <w:t>Client Number / ID:</w:t>
            </w:r>
            <w:r>
              <w:rPr>
                <w:sz w:val="19"/>
              </w:rPr>
              <w:t xml:space="preserve"> REF-2026-RW-90412</w:t>
            </w:r>
          </w:p>
        </w:tc>
      </w:tr>
      <w:tr>
        <w:tc>
          <w:tcPr>
            <w:tcW w:type="dxa" w:w="5040"/>
            <w:shd w:fill="F3F4F6"/>
            <w:tcMar>
              <w:top w:w="80" w:type="dxa"/>
              <w:bottom w:w="80" w:type="dxa"/>
              <w:left w:w="120" w:type="dxa"/>
              <w:right w:w="120" w:type="dxa"/>
            </w:tcMar>
          </w:tcPr>
          <w:p>
            <w:r>
              <w:rPr>
                <w:b/>
                <w:color w:val="001A49"/>
                <w:sz w:val="19"/>
              </w:rPr>
              <w:t>Business Operation:</w:t>
            </w:r>
            <w:r>
              <w:rPr>
                <w:sz w:val="19"/>
              </w:rPr>
              <w:t xml:space="preserve"> Agro-Commodity Distribution &amp; Grain Retail</w:t>
            </w:r>
          </w:p>
        </w:tc>
        <w:tc>
          <w:tcPr>
            <w:tcW w:type="dxa" w:w="5040"/>
            <w:shd w:fill="F3F4F6"/>
            <w:tcMar>
              <w:top w:w="80" w:type="dxa"/>
              <w:bottom w:w="80" w:type="dxa"/>
              <w:left w:w="120" w:type="dxa"/>
              <w:right w:w="120" w:type="dxa"/>
            </w:tcMar>
          </w:tcPr>
          <w:p>
            <w:r>
              <w:rPr>
                <w:b/>
                <w:color w:val="001A49"/>
                <w:sz w:val="19"/>
              </w:rPr>
              <w:t>Review Purpose:</w:t>
            </w:r>
            <w:r>
              <w:rPr>
                <w:sz w:val="19"/>
              </w:rPr>
              <w:t xml:space="preserve"> Working Capital Facility Risk Assessment</w:t>
            </w:r>
          </w:p>
        </w:tc>
      </w:tr>
    </w:tbl>
    <w:p/>
    <w:p>
      <w:pPr>
        <w:spacing w:before="240" w:after="80"/>
      </w:pPr>
      <w:r>
        <w:rPr>
          <w:rFonts w:ascii="Calibri" w:hAnsi="Calibri"/>
          <w:b/>
          <w:color w:val="001A49"/>
          <w:sz w:val="28"/>
        </w:rPr>
        <w:t>1. Financial Statements &amp; Cash Flow Position</w:t>
      </w:r>
    </w:p>
    <w:p>
      <w:pPr>
        <w:spacing w:after="120"/>
      </w:pPr>
      <w:r>
        <w:rPr>
          <w:sz w:val="20"/>
        </w:rPr>
        <w:t>During the past 12-month operating period, the business recorded an average monthly gross sales turnover of 4,800,000 RWF against recurring operational and inventory procurement expenditures totaling 5,150,000 RWF per month. Consequently, the business closed the reporting quarter with an Operating Cash Flow Deficit of -350,000 RWF per month. The negative cash trajectory is primarily driven by recent inventory acquisition inflation and delayed client receivables.</w:t>
      </w:r>
    </w:p>
    <w:tbl>
      <w:tblPr>
        <w:tblW w:type="auto" w:w="0"/>
        <w:jc w:val="center"/>
        <w:tblLook w:firstColumn="1" w:firstRow="1" w:lastColumn="0" w:lastRow="0" w:noHBand="0" w:noVBand="1" w:val="04A0"/>
      </w:tblPr>
      <w:tblGrid>
        <w:gridCol w:w="3360"/>
        <w:gridCol w:w="3360"/>
        <w:gridCol w:w="3360"/>
      </w:tblGrid>
      <w:tr>
        <w:tc>
          <w:tcPr>
            <w:tcW w:type="dxa" w:w="3360"/>
            <w:shd w:fill="001A49"/>
            <w:tcMar>
              <w:top w:w="80" w:type="dxa"/>
              <w:bottom w:w="80" w:type="dxa"/>
              <w:left w:w="100" w:type="dxa"/>
              <w:right w:w="100" w:type="dxa"/>
            </w:tcMar>
          </w:tcPr>
          <w:p>
            <w:r>
              <w:rPr>
                <w:b/>
                <w:color w:val="FFFFFF"/>
                <w:sz w:val="18"/>
              </w:rPr>
              <w:t>Financial Indicator</w:t>
            </w:r>
          </w:p>
        </w:tc>
        <w:tc>
          <w:tcPr>
            <w:tcW w:type="dxa" w:w="3360"/>
            <w:shd w:fill="001A49"/>
            <w:tcMar>
              <w:top w:w="80" w:type="dxa"/>
              <w:bottom w:w="80" w:type="dxa"/>
              <w:left w:w="100" w:type="dxa"/>
              <w:right w:w="100" w:type="dxa"/>
            </w:tcMar>
          </w:tcPr>
          <w:p>
            <w:r>
              <w:rPr>
                <w:b/>
                <w:color w:val="FFFFFF"/>
                <w:sz w:val="18"/>
              </w:rPr>
              <w:t>Recorded Amount (RWF)</w:t>
            </w:r>
          </w:p>
        </w:tc>
        <w:tc>
          <w:tcPr>
            <w:tcW w:type="dxa" w:w="3360"/>
            <w:shd w:fill="001A49"/>
            <w:tcMar>
              <w:top w:w="80" w:type="dxa"/>
              <w:bottom w:w="80" w:type="dxa"/>
              <w:left w:w="100" w:type="dxa"/>
              <w:right w:w="100" w:type="dxa"/>
            </w:tcMar>
          </w:tcPr>
          <w:p>
            <w:r>
              <w:rPr>
                <w:b/>
                <w:color w:val="FFFFFF"/>
                <w:sz w:val="18"/>
              </w:rPr>
              <w:t>Analytical Observation</w:t>
            </w:r>
          </w:p>
        </w:tc>
      </w:tr>
      <w:tr>
        <w:tc>
          <w:tcPr>
            <w:tcW w:type="dxa" w:w="3360"/>
            <w:shd w:fill="FFFFFF"/>
            <w:tcMar>
              <w:top w:w="70" w:type="dxa"/>
              <w:bottom w:w="70" w:type="dxa"/>
              <w:left w:w="100" w:type="dxa"/>
              <w:right w:w="100" w:type="dxa"/>
            </w:tcMar>
          </w:tcPr>
          <w:p>
            <w:r>
              <w:rPr>
                <w:b/>
                <w:sz w:val="18"/>
              </w:rPr>
              <w:t>Monthly Operating Inflows</w:t>
            </w:r>
          </w:p>
        </w:tc>
        <w:tc>
          <w:tcPr>
            <w:tcW w:type="dxa" w:w="3360"/>
            <w:shd w:fill="FFFFFF"/>
            <w:tcMar>
              <w:top w:w="70" w:type="dxa"/>
              <w:bottom w:w="70" w:type="dxa"/>
              <w:left w:w="100" w:type="dxa"/>
              <w:right w:w="100" w:type="dxa"/>
            </w:tcMar>
          </w:tcPr>
          <w:p>
            <w:r>
              <w:rPr>
                <w:sz w:val="18"/>
              </w:rPr>
              <w:t>4,800,000 RWF</w:t>
            </w:r>
          </w:p>
        </w:tc>
        <w:tc>
          <w:tcPr>
            <w:tcW w:type="dxa" w:w="3360"/>
            <w:shd w:fill="FFFFFF"/>
            <w:tcMar>
              <w:top w:w="70" w:type="dxa"/>
              <w:bottom w:w="70" w:type="dxa"/>
              <w:left w:w="100" w:type="dxa"/>
              <w:right w:w="100" w:type="dxa"/>
            </w:tcMar>
          </w:tcPr>
          <w:p>
            <w:r>
              <w:rPr>
                <w:sz w:val="18"/>
              </w:rPr>
              <w:t>Average cash collected from direct retail operations</w:t>
            </w:r>
          </w:p>
        </w:tc>
      </w:tr>
      <w:tr>
        <w:tc>
          <w:tcPr>
            <w:tcW w:type="dxa" w:w="3360"/>
            <w:shd w:fill="F9FAFB"/>
            <w:tcMar>
              <w:top w:w="70" w:type="dxa"/>
              <w:bottom w:w="70" w:type="dxa"/>
              <w:left w:w="100" w:type="dxa"/>
              <w:right w:w="100" w:type="dxa"/>
            </w:tcMar>
          </w:tcPr>
          <w:p>
            <w:r>
              <w:rPr>
                <w:b/>
                <w:sz w:val="18"/>
              </w:rPr>
              <w:t>Monthly Operating Outflows</w:t>
            </w:r>
          </w:p>
        </w:tc>
        <w:tc>
          <w:tcPr>
            <w:tcW w:type="dxa" w:w="3360"/>
            <w:shd w:fill="F9FAFB"/>
            <w:tcMar>
              <w:top w:w="70" w:type="dxa"/>
              <w:bottom w:w="70" w:type="dxa"/>
              <w:left w:w="100" w:type="dxa"/>
              <w:right w:w="100" w:type="dxa"/>
            </w:tcMar>
          </w:tcPr>
          <w:p>
            <w:r>
              <w:rPr>
                <w:sz w:val="18"/>
              </w:rPr>
              <w:t>5,150,000 RWF</w:t>
            </w:r>
          </w:p>
        </w:tc>
        <w:tc>
          <w:tcPr>
            <w:tcW w:type="dxa" w:w="3360"/>
            <w:shd w:fill="F9FAFB"/>
            <w:tcMar>
              <w:top w:w="70" w:type="dxa"/>
              <w:bottom w:w="70" w:type="dxa"/>
              <w:left w:w="100" w:type="dxa"/>
              <w:right w:w="100" w:type="dxa"/>
            </w:tcMar>
          </w:tcPr>
          <w:p>
            <w:r>
              <w:rPr>
                <w:sz w:val="18"/>
              </w:rPr>
              <w:t>Cost of goods sold, rent, utilities, and transport expenses</w:t>
            </w:r>
          </w:p>
        </w:tc>
      </w:tr>
      <w:tr>
        <w:tc>
          <w:tcPr>
            <w:tcW w:type="dxa" w:w="3360"/>
            <w:shd w:fill="FFFFFF"/>
            <w:tcMar>
              <w:top w:w="70" w:type="dxa"/>
              <w:bottom w:w="70" w:type="dxa"/>
              <w:left w:w="100" w:type="dxa"/>
              <w:right w:w="100" w:type="dxa"/>
            </w:tcMar>
          </w:tcPr>
          <w:p>
            <w:r>
              <w:rPr>
                <w:b/>
                <w:sz w:val="18"/>
              </w:rPr>
              <w:t>Operating Cash Flow Deficit</w:t>
            </w:r>
          </w:p>
        </w:tc>
        <w:tc>
          <w:tcPr>
            <w:tcW w:type="dxa" w:w="3360"/>
            <w:shd w:fill="FFFFFF"/>
            <w:tcMar>
              <w:top w:w="70" w:type="dxa"/>
              <w:bottom w:w="70" w:type="dxa"/>
              <w:left w:w="100" w:type="dxa"/>
              <w:right w:w="100" w:type="dxa"/>
            </w:tcMar>
          </w:tcPr>
          <w:p>
            <w:r>
              <w:rPr>
                <w:sz w:val="18"/>
              </w:rPr>
              <w:t>-350,000 RWF</w:t>
            </w:r>
          </w:p>
        </w:tc>
        <w:tc>
          <w:tcPr>
            <w:tcW w:type="dxa" w:w="3360"/>
            <w:shd w:fill="FFFFFF"/>
            <w:tcMar>
              <w:top w:w="70" w:type="dxa"/>
              <w:bottom w:w="70" w:type="dxa"/>
              <w:left w:w="100" w:type="dxa"/>
              <w:right w:w="100" w:type="dxa"/>
            </w:tcMar>
          </w:tcPr>
          <w:p>
            <w:r>
              <w:rPr>
                <w:sz w:val="18"/>
              </w:rPr>
              <w:t>Negative operational cash flow requiring monthly overdraft financing</w:t>
            </w:r>
          </w:p>
        </w:tc>
      </w:tr>
    </w:tbl>
    <w:p/>
    <w:p>
      <w:pPr>
        <w:spacing w:before="200" w:after="80"/>
      </w:pPr>
      <w:r>
        <w:rPr>
          <w:rFonts w:ascii="Calibri" w:hAnsi="Calibri"/>
          <w:b/>
          <w:color w:val="001A49"/>
          <w:sz w:val="28"/>
        </w:rPr>
        <w:t>2. Balance Sheet &amp; Short-Term Liquidity Ratios</w:t>
      </w:r>
    </w:p>
    <w:p>
      <w:pPr>
        <w:spacing w:after="120"/>
      </w:pPr>
      <w:r>
        <w:rPr>
          <w:sz w:val="20"/>
        </w:rPr>
        <w:t>A formal inspection of the client's current balance sheet indicates total short-term liquid reserves (cash on hand, current bank account deposits, and verifiable 30-day receivables) of 3,450,000 RWF against current short-term liabilities and debt obligations due within the next 12 months amounting to 4,200,000 RWF.</w:t>
        <w:br/>
        <w:t>Accordingly, the applicant's verified Short-term Liquidity Ratio is 0.82 (calculated as 3,450,000 / 4,200,000). A liquidity ratio below 1.0 confirms that current short-term liabilities exceed immediately available working capital.</w:t>
      </w:r>
    </w:p>
    <w:p/>
    <w:p>
      <w:pPr>
        <w:spacing w:before="200" w:after="80"/>
      </w:pPr>
      <w:r>
        <w:rPr>
          <w:rFonts w:ascii="Calibri" w:hAnsi="Calibri"/>
          <w:b/>
          <w:color w:val="001A49"/>
          <w:sz w:val="28"/>
        </w:rPr>
        <w:t>3. Commercial Dependencies, Customers &amp; Supply Chain</w:t>
      </w:r>
    </w:p>
    <w:p>
      <w:pPr>
        <w:spacing w:after="120"/>
      </w:pPr>
      <w:r>
        <w:rPr>
          <w:sz w:val="20"/>
        </w:rPr>
        <w:t>The applicant's trading ledger reveals significant counterparty dependencies across three main operational areas:</w:t>
        <w:br/>
        <w:br/>
        <w:t>• Top 3 Customer Concentration: The business relies heavily on its top 3 wholesale buyers (Store A at 36%, Supermarket B at 22%, and Distributor C at 14%). Combined, the Top 3 Customer Concentration is 72% of total commercial revenues, exposing the applicant to acute revenue volatility in the event of customer default or contract termination.</w:t>
        <w:br/>
        <w:br/>
        <w:t>• Supplier Concentration: In terms of inventory restocking, the applicant sources 78% of all grain stock from a single regional mill (Kigali Grain Processors Ltd). This Supplier Concentration of 78% represents a single point of failure in supply logistics.</w:t>
        <w:br/>
        <w:br/>
        <w:t>• Core Market Revenue Dependency: Geographical sales records demonstrate that 85% of total sales receipts originate strictly from the Nyarugenge District urban market. This Core Market Revenue Dependency of 85% leaves the business vulnerable to localized economic downturns.</w:t>
        <w:br/>
        <w:br/>
        <w:t>• Disaster Recovery RTO: In IT and records continuity, the applicant maintains computerized transaction ledgers on a single off-site server. Documented backup restore tests demonstrate a Disaster Recovery RTO of 54 hours in the event of hardware corruption, surpassing standard 48-hour recovery thresholds.</w:t>
      </w:r>
    </w:p>
    <w:p/>
    <w:p>
      <w:pPr>
        <w:spacing w:before="200" w:after="80"/>
      </w:pPr>
      <w:r>
        <w:rPr>
          <w:rFonts w:ascii="Calibri" w:hAnsi="Calibri"/>
          <w:b/>
          <w:color w:val="001A49"/>
          <w:sz w:val="28"/>
        </w:rPr>
        <w:t>4. Regulatory Compliance Standing &amp; Internal Risk Controls</w:t>
      </w:r>
    </w:p>
    <w:p>
      <w:pPr>
        <w:spacing w:after="120"/>
      </w:pPr>
      <w:r>
        <w:rPr>
          <w:sz w:val="20"/>
        </w:rPr>
        <w:t>• Statutory Compliance: The latest commercial registry and municipal tax filing contains Statutory Compliance Deficiencies, with an audit stamp indicating the applicant was designated non-compliant due to a pending value-added tax declaration review.</w:t>
        <w:br/>
        <w:br/>
        <w:t>• Identified Risk Mitigations &amp; Internal Controls:</w:t>
        <w:br/>
        <w:t xml:space="preserve">  1. Physical Inventory Security: The applicant maintains verified storage warehouse collateral with a bonded inventory pledge covering 25% of the total loan exposure.</w:t>
        <w:br/>
        <w:t xml:space="preserve">  2. Personal Guarantor: A secondary personal guarantor agreement has been executed by a civil servant relative with verified monthly salary deposits.</w:t>
        <w:br/>
        <w:t xml:space="preserve">  3. Alternative Supplier Agreement: The applicant has drafted a backup procurement agreement with an alternate cooperative in the Southern Province.</w:t>
      </w:r>
    </w:p>
    <w:p/>
    <w:p>
      <w:pPr>
        <w:spacing w:before="160"/>
      </w:pPr>
      <w:r>
        <w:rPr>
          <w:i/>
          <w:color w:val="323C4B"/>
          <w:sz w:val="17"/>
        </w:rPr>
        <w:t>--- End of Document Dossier | Certified for Deterministic Credit Risk Engine Assessment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