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LETTER OF INTENT</w:t>
      </w:r>
    </w:p>
    <w:p>
      <w:pPr>
        <w:jc w:val="center"/>
      </w:pPr>
      <w:r>
        <w:rPr>
          <w:b/>
        </w:rPr>
        <w:t>STRATEGIC PARTNERSHIP BETWEEN</w:t>
      </w:r>
    </w:p>
    <w:p>
      <w:pPr>
        <w:jc w:val="center"/>
      </w:pPr>
      <w:r>
        <w:rPr>
          <w:b/>
        </w:rPr>
        <w:t>NVC FUND HOLDING TRUST AND BRIDGE.XYZ</w:t>
      </w:r>
    </w:p>
    <w:p>
      <w:pPr>
        <w:jc w:val="right"/>
      </w:pPr>
      <w:r>
        <w:t>Date: May 22, 2025</w:t>
      </w:r>
    </w:p>
    <w:p>
      <w:r>
        <w:t>Bridge.xyz</w:t>
      </w:r>
    </w:p>
    <w:p>
      <w:r>
        <w:t>San Francisco, CA</w:t>
      </w:r>
    </w:p>
    <w:p>
      <w:r>
        <w:t>United States</w:t>
      </w:r>
    </w:p>
    <w:p>
      <w:r>
        <w:t>Re: Letter of Intent - $5 Billion Strategic Liquidity Partnership</w:t>
      </w:r>
    </w:p>
    <w:p>
      <w:r>
        <w:t>Dear Bridge.xyz Leadership Team:</w:t>
      </w:r>
    </w:p>
    <w:p>
      <w:r>
        <w:br/>
        <w:t xml:space="preserve">    This Letter of Intent ("LOI") sets forth the principal terms and conditions under which NVC Fund Holding Trust </w:t>
        <w:br/>
        <w:t xml:space="preserve">    ("NVC Fund") proposes to enter into a strategic liquidity partnership with Bridge.xyz ("Bridge") to establish </w:t>
        <w:br/>
        <w:t xml:space="preserve">    a $5 billion liquidity facility leveraging NVC Fund's NVCToken ("NVCT"). This non-binding LOI outlines the</w:t>
        <w:br/>
        <w:t xml:space="preserve">    framework for our proposed partnership and serves as the basis for the preparation of definitive agreements.</w:t>
        <w:br/>
        <w:t xml:space="preserve">    </w:t>
      </w:r>
    </w:p>
    <w:p>
      <w:pPr>
        <w:pStyle w:val="Heading2"/>
      </w:pPr>
      <w:r>
        <w:t>1. PARTNERSHIP STRUCTURE</w:t>
      </w:r>
    </w:p>
    <w:p>
      <w:r>
        <w:br/>
        <w:t xml:space="preserve">    1.1 Strategic Liquidity Partnership: NVC Fund and Bridge.xyz propose to establish a multi-tiered liquidity </w:t>
        <w:br/>
        <w:t xml:space="preserve">    provision agreement with the following parameters:</w:t>
        <w:br/>
        <w:t xml:space="preserve">    </w:t>
        <w:br/>
        <w:t xml:space="preserve">    a) Initial Phase: $500 million liquidity provision against NVCToken collateral with a loan-to-value </w:t>
        <w:br/>
        <w:t xml:space="preserve">    ratio of 75%.</w:t>
        <w:br/>
        <w:t xml:space="preserve">    </w:t>
        <w:br/>
        <w:t xml:space="preserve">    b) Scaling Phases: Incremental increases to the full $5 billion facility based on predetermined </w:t>
        <w:br/>
        <w:t xml:space="preserve">    transaction volume and performance metrics over a 24-month period.</w:t>
        <w:br/>
        <w:t xml:space="preserve">    </w:t>
        <w:br/>
        <w:t xml:space="preserve">    c) Term: Initial 36-month arrangement with automatic renewal options upon mutual agreement.</w:t>
        <w:br/>
        <w:t xml:space="preserve">    </w:t>
        <w:br/>
        <w:t xml:space="preserve">    1.2 Technical Integration: The parties will collaborate to develop:</w:t>
        <w:br/>
        <w:t xml:space="preserve">    </w:t>
        <w:br/>
        <w:t xml:space="preserve">    a) Direct API connections between NVC Banking Platform and Bridge.xyz infrastructure</w:t>
        <w:br/>
        <w:t xml:space="preserve">    </w:t>
        <w:br/>
        <w:t xml:space="preserve">    b) Stablecoin settlement layer utilizing Bridge's existing stablecoin infrastructure</w:t>
        <w:br/>
        <w:t xml:space="preserve">    </w:t>
        <w:br/>
        <w:t xml:space="preserve">    c) Cross-chain bridge solutions to support NVCToken liquidity across multiple blockchain networks</w:t>
        <w:br/>
        <w:t xml:space="preserve">    </w:t>
      </w:r>
    </w:p>
    <w:p>
      <w:pPr>
        <w:pStyle w:val="Heading2"/>
      </w:pPr>
      <w:r>
        <w:t>2. COMMERCIAL TERMS</w:t>
      </w:r>
    </w:p>
    <w:p>
      <w:r>
        <w:br/>
        <w:t xml:space="preserve">    2.1 Fee Structure: A tiered transaction fee model based on volume:</w:t>
        <w:br/>
        <w:t xml:space="preserve">    </w:t>
        <w:br/>
        <w:t xml:space="preserve">    a) Tier 1 (0-$500M): 0.40% per transaction</w:t>
        <w:br/>
        <w:t xml:space="preserve">    </w:t>
        <w:br/>
        <w:t xml:space="preserve">    b) Tier 2 ($500M-$2B): 0.30% per transaction</w:t>
        <w:br/>
        <w:t xml:space="preserve">    </w:t>
        <w:br/>
        <w:t xml:space="preserve">    c) Tier 3 ($2B-$5B): 0.25% per transaction</w:t>
        <w:br/>
        <w:t xml:space="preserve">    </w:t>
        <w:br/>
        <w:t xml:space="preserve">    2.2 Revenue Sharing: 70% to NVC Fund and 30% to Bridge.xyz for all new transaction revenue generated </w:t>
        <w:br/>
        <w:t xml:space="preserve">    through the partnership.</w:t>
        <w:br/>
        <w:t xml:space="preserve">    </w:t>
        <w:br/>
        <w:t xml:space="preserve">    2.3 Minimum Volume Commitments: </w:t>
        <w:br/>
        <w:t xml:space="preserve">    </w:t>
        <w:br/>
        <w:t xml:space="preserve">    a) Year 1: $2 billion in transaction volume</w:t>
        <w:br/>
        <w:t xml:space="preserve">    </w:t>
        <w:br/>
        <w:t xml:space="preserve">    b) Year 2: $5 billion in transaction volume</w:t>
        <w:br/>
        <w:t xml:space="preserve">    </w:t>
        <w:br/>
        <w:t xml:space="preserve">    c) Year 3: $8 billion in transaction volume</w:t>
        <w:br/>
        <w:t xml:space="preserve">    </w:t>
      </w:r>
    </w:p>
    <w:p>
      <w:pPr>
        <w:pStyle w:val="Heading2"/>
      </w:pPr>
      <w:r>
        <w:t>3. SECURITY AND COMPLIANCE</w:t>
      </w:r>
    </w:p>
    <w:p>
      <w:r>
        <w:br/>
        <w:t xml:space="preserve">    3.1 Collateral Management: Establishment of a programmatic treasury management system with </w:t>
        <w:br/>
        <w:t xml:space="preserve">    transparent reporting and automated collateral adjustments.</w:t>
        <w:br/>
        <w:t xml:space="preserve">    </w:t>
        <w:br/>
        <w:t xml:space="preserve">    3.2 Smart Contract Governance: Formation of a joint oversight committee for contract modifications</w:t>
        <w:br/>
        <w:t xml:space="preserve">    with representation from both parties.</w:t>
        <w:br/>
        <w:t xml:space="preserve">    </w:t>
        <w:br/>
        <w:t xml:space="preserve">    3.3 Regulatory Framework: Development of clear jurisdictional parameters and compliance requirements</w:t>
        <w:br/>
        <w:t xml:space="preserve">    in accordance with relevant financial regulations and blockchain governance standards.</w:t>
        <w:br/>
        <w:t xml:space="preserve">    </w:t>
      </w:r>
    </w:p>
    <w:p>
      <w:pPr>
        <w:pStyle w:val="Heading2"/>
      </w:pPr>
      <w:r>
        <w:t>4. GROWTH INCENTIVES</w:t>
      </w:r>
    </w:p>
    <w:p>
      <w:r>
        <w:br/>
        <w:t xml:space="preserve">    4.1 Transaction Volume Bonuses: Automatic credit facility increases upon exceeding volume targets:</w:t>
        <w:br/>
        <w:t xml:space="preserve">    </w:t>
        <w:br/>
        <w:t xml:space="preserve">    a) 10% additional credit for exceeding quarterly targets by 15%</w:t>
        <w:br/>
        <w:t xml:space="preserve">    </w:t>
        <w:br/>
        <w:t xml:space="preserve">    b) 20% additional credit for exceeding quarterly targets by 25%</w:t>
        <w:br/>
        <w:t xml:space="preserve">    </w:t>
        <w:br/>
        <w:t xml:space="preserve">    4.2 Market Expansion: Preferential terms for entering new geographic markets, with specific focus on</w:t>
        <w:br/>
        <w:t xml:space="preserve">    emerging markets in Africa, Southeast Asia, and Latin America.</w:t>
        <w:br/>
        <w:t xml:space="preserve">    </w:t>
        <w:br/>
        <w:t xml:space="preserve">    4.3 Technology Collaboration: Joint development of new liquidity products with intellectual property</w:t>
        <w:br/>
        <w:t xml:space="preserve">    sharing arrangements to be detailed in the definitive agreements.</w:t>
        <w:br/>
        <w:t xml:space="preserve">    </w:t>
      </w:r>
    </w:p>
    <w:p>
      <w:pPr>
        <w:pStyle w:val="Heading2"/>
      </w:pPr>
      <w:r>
        <w:t>5. MUTUAL BENEFITS</w:t>
      </w:r>
    </w:p>
    <w:p>
      <w:r>
        <w:br/>
        <w:t xml:space="preserve">    5.1 Benefits to NVC Fund:</w:t>
        <w:br/>
        <w:t xml:space="preserve">    </w:t>
        <w:br/>
        <w:t xml:space="preserve">    a) Immediate access to global stablecoin infrastructure</w:t>
        <w:br/>
        <w:t xml:space="preserve">    </w:t>
        <w:br/>
        <w:t xml:space="preserve">    b) Enhanced liquidity for NVCToken</w:t>
        <w:br/>
        <w:t xml:space="preserve">    </w:t>
        <w:br/>
        <w:t xml:space="preserve">    c) New distribution channels for NVC Fund services</w:t>
        <w:br/>
        <w:t xml:space="preserve">    </w:t>
        <w:br/>
        <w:t xml:space="preserve">    5.2 Benefits to Bridge.xyz:</w:t>
        <w:br/>
        <w:t xml:space="preserve">    </w:t>
        <w:br/>
        <w:t xml:space="preserve">    a) Access to NVC Fund's $10+ trillion asset base as backing collateral</w:t>
        <w:br/>
        <w:t xml:space="preserve">    </w:t>
        <w:br/>
        <w:t xml:space="preserve">    b) Enhanced credibility through partnership with an established financial institution</w:t>
        <w:br/>
        <w:t xml:space="preserve">    </w:t>
        <w:br/>
        <w:t xml:space="preserve">    c) Expanded transaction volume through NVC Fund's existing global networks</w:t>
        <w:br/>
        <w:t xml:space="preserve">    </w:t>
      </w:r>
    </w:p>
    <w:p>
      <w:pPr>
        <w:pStyle w:val="Heading2"/>
      </w:pPr>
      <w:r>
        <w:t>6. NON-BINDING NATURE</w:t>
      </w:r>
    </w:p>
    <w:p>
      <w:r>
        <w:br/>
        <w:t xml:space="preserve">    This LOI is non-binding and subject to the execution of definitive agreements between the parties.</w:t>
        <w:br/>
        <w:t xml:space="preserve">    The parties agree to work in good faith to negotiate and execute such agreements within 60 days from</w:t>
        <w:br/>
        <w:t xml:space="preserve">    the date of this LOI.</w:t>
        <w:br/>
        <w:t xml:space="preserve">    </w:t>
      </w:r>
    </w:p>
    <w:p>
      <w:pPr>
        <w:pStyle w:val="Heading2"/>
      </w:pPr>
      <w:r>
        <w:t>7. CONFIDENTIALITY</w:t>
      </w:r>
    </w:p>
    <w:p>
      <w:r>
        <w:br/>
        <w:t xml:space="preserve">    The parties agree to maintain the confidentiality of this LOI and all discussions and information</w:t>
        <w:br/>
        <w:t xml:space="preserve">    exchanged in connection with the proposed partnership, except as required by law or regulatory authorities.</w:t>
        <w:br/>
        <w:t xml:space="preserve">    </w:t>
      </w:r>
    </w:p>
    <w:p>
      <w:pPr>
        <w:pStyle w:val="Heading2"/>
      </w:pPr>
      <w:r>
        <w:t>8. GOVERNING LAW</w:t>
      </w:r>
    </w:p>
    <w:p>
      <w:r>
        <w:br/>
        <w:t xml:space="preserve">    This LOI shall be governed by and construed in accordance with the laws of the jurisdiction to be</w:t>
        <w:br/>
        <w:t xml:space="preserve">    determined in the definitive agreements.</w:t>
        <w:br/>
        <w:t xml:space="preserve">    </w:t>
      </w:r>
    </w:p>
    <w:p>
      <w:r>
        <w:t>If the terms outlined in this LOI are acceptable, please indicate your acceptance by signing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r>
              <w:rPr>
                <w:b/>
              </w:rPr>
              <w:t>FOR NVC FUND HOLDING TRUST:</w:t>
            </w:r>
          </w:p>
        </w:tc>
        <w:tc>
          <w:tcPr>
            <w:tcW w:type="dxa" w:w="4320"/>
            <w:vAlign w:val="center"/>
          </w:tcPr>
          <w:p>
            <w:r>
              <w:rPr>
                <w:b/>
              </w:rPr>
              <w:t>FOR BRIDGE.XYZ: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r/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r>
              <w:t>________________________________</w:t>
            </w:r>
          </w:p>
        </w:tc>
        <w:tc>
          <w:tcPr>
            <w:tcW w:type="dxa" w:w="4320"/>
            <w:vAlign w:val="center"/>
          </w:tcPr>
          <w:p>
            <w:r>
              <w:t>________________________________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r>
              <w:t>Name: _________________________</w:t>
            </w:r>
          </w:p>
        </w:tc>
        <w:tc>
          <w:tcPr>
            <w:tcW w:type="dxa" w:w="4320"/>
            <w:vAlign w:val="center"/>
          </w:tcPr>
          <w:p>
            <w:r>
              <w:t>Name: _________________________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r>
              <w:t>Title: __________________________</w:t>
            </w:r>
          </w:p>
        </w:tc>
        <w:tc>
          <w:tcPr>
            <w:tcW w:type="dxa" w:w="4320"/>
            <w:vAlign w:val="center"/>
          </w:tcPr>
          <w:p>
            <w:r>
              <w:t>Title: __________________________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r>
              <w:t>Date: __________________________</w:t>
            </w:r>
          </w:p>
        </w:tc>
        <w:tc>
          <w:tcPr>
            <w:tcW w:type="dxa" w:w="4320"/>
            <w:vAlign w:val="center"/>
          </w:tcPr>
          <w:p>
            <w:r>
              <w:t>Date: __________________________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