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0A0A0A"/>
          <w:sz w:val="80"/>
          <w:szCs w:val="80"/>
        </w:rPr>
        <w:t xml:space="preserve">THE</w:t>
      </w:r>
    </w:p>
    <w:p>
      <w:pPr>
        <w:spacing w:before="0" w:after="0"/>
        <w:jc w:val="left"/>
      </w:pPr>
      <w:r>
        <w:rPr>
          <w:rFonts w:ascii="Garamond" w:cs="Garamond" w:eastAsia="Garamond" w:hAnsi="Garamond"/>
          <w:b/>
          <w:bCs/>
          <w:i w:val="false"/>
          <w:iCs w:val="false"/>
          <w:color w:val="0A0A0A"/>
          <w:sz w:val="120"/>
          <w:szCs w:val="120"/>
        </w:rPr>
        <w:t xml:space="preserve">PIVOT</w:t>
      </w:r>
    </w:p>
    <w:p>
      <w:pPr>
        <w:pBdr>
          <w:bottom w:val="single" w:color="C4A95A" w:sz="8" w:space="6"/>
        </w:pBdr>
        <w:spacing w:before="20" w:after="80"/>
      </w:pPr>
      <w:r>
        <w:rPr>
          <w:rFonts w:ascii="Garamond" w:cs="Garamond" w:eastAsia="Garamond" w:hAnsi="Garamond"/>
          <w:b/>
          <w:bCs/>
          <w:i w:val="false"/>
          <w:iCs w:val="false"/>
          <w:color w:val="C4A95A"/>
          <w:sz w:val="34"/>
          <w:szCs w:val="34"/>
        </w:rPr>
        <w:t xml:space="preserve">When Everything You Built Must Become Something Else.</w:t>
      </w:r>
    </w:p>
    <w:p>
      <w:pPr>
        <w:spacing w:before="40" w:after="600"/>
        <w:jc w:val="left"/>
      </w:pPr>
      <w:r>
        <w:rPr>
          <w:rFonts w:ascii="Garamond" w:cs="Garamond" w:eastAsia="Garamond" w:hAnsi="Garamond"/>
          <w:b w:val="false"/>
          <w:bCs w:val="false"/>
          <w:i/>
          <w:iCs/>
          <w:color w:val="666666"/>
          <w:sz w:val="22"/>
          <w:szCs w:val="22"/>
        </w:rPr>
        <w:t xml:space="preserve">What PLT looks like when the direction changes completely — and how to survive the change with the surplus intact.</w:t>
      </w:r>
    </w:p>
    <w:p>
      <w:pPr>
        <w:spacing w:before="0" w:after="0"/>
        <w:jc w:val="left"/>
      </w:pPr>
      <w:r>
        <w:rPr>
          <w:rFonts w:ascii="Garamond" w:cs="Garamond" w:eastAsia="Garamond" w:hAnsi="Garamond"/>
          <w:b/>
          <w:bCs/>
          <w:i w:val="false"/>
          <w:iCs w:val="false"/>
          <w:color w:val="0A0A0A"/>
          <w:sz w:val="22"/>
          <w:szCs w:val="22"/>
        </w:rPr>
        <w:t xml:space="preserve">Craig Jones</w:t>
      </w:r>
    </w:p>
    <w:p>
      <w:pPr>
        <w:spacing w:before="0" w:after="0"/>
        <w:jc w:val="left"/>
      </w:pPr>
      <w:r>
        <w:rPr>
          <w:rFonts w:ascii="Garamond" w:cs="Garamond" w:eastAsia="Garamond" w:hAnsi="Garamond"/>
          <w:b w:val="false"/>
          <w:bCs w:val="false"/>
          <w:i w:val="false"/>
          <w:iCs w:val="false"/>
          <w:color w:val="666666"/>
          <w:sz w:val="19"/>
          <w:szCs w:val="19"/>
        </w:rPr>
        <w:t xml:space="preserve">Little Bunny  ·  The PLT Press  ·  The Reality Building Series</w:t>
      </w:r>
    </w:p>
    <w:p>
      <w:pPr>
        <w:spacing w:before="0" w:after="0"/>
        <w:jc w:val="left"/>
      </w:pPr>
      <w:r>
        <w:br/>
      </w:r>
    </w:p>
    <w:p>
      <w:pPr>
        <w:spacing w:before="6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val="false"/>
          <w:bCs w:val="false"/>
          <w:i w:val="false"/>
          <w:iCs w:val="false"/>
          <w:color w:val="666666"/>
          <w:sz w:val="20"/>
          <w:szCs w:val="20"/>
        </w:rPr>
        <w:t xml:space="preserve">Copyright © 2026 Craig Jones</w:t>
      </w:r>
    </w:p>
    <w:p>
      <w:pPr>
        <w:spacing w:before="120" w:after="120"/>
        <w:jc w:val="left"/>
      </w:pPr>
      <w:r>
        <w:rPr>
          <w:rFonts w:ascii="Garamond" w:cs="Garamond" w:eastAsia="Garamond" w:hAnsi="Garamond"/>
          <w:b w:val="false"/>
          <w:bCs w:val="false"/>
          <w:i w:val="false"/>
          <w:iCs w:val="false"/>
          <w:color w:val="999999"/>
          <w:sz w:val="18"/>
          <w:szCs w:val="18"/>
        </w:rPr>
        <w:t xml:space="preserve">All rights reserved. No part of this publication may be reproduced, distributed, or transmitted in any form or by any means without the prior written permission of the publisher.</w:t>
      </w:r>
    </w:p>
    <w:p>
      <w:pPr>
        <w:spacing w:before="0" w:after="0"/>
        <w:jc w:val="left"/>
      </w:pPr>
      <w:r>
        <w:rPr>
          <w:rFonts w:ascii="Garamond" w:cs="Garamond" w:eastAsia="Garamond" w:hAnsi="Garamond"/>
          <w:b w:val="false"/>
          <w:bCs w:val="false"/>
          <w:i w:val="false"/>
          <w:iCs w:val="false"/>
          <w:color w:val="999999"/>
          <w:sz w:val="18"/>
          <w:szCs w:val="18"/>
        </w:rPr>
        <w:t xml:space="preserve">PLT Framework is a trademark of Craig Jones.</w:t>
      </w:r>
    </w:p>
    <w:p>
      <w:pPr>
        <w:spacing w:before="0" w:after="200"/>
        <w:jc w:val="left"/>
      </w:pPr>
      <w:r>
        <w:rPr>
          <w:rFonts w:ascii="Garamond" w:cs="Garamond" w:eastAsia="Garamond" w:hAnsi="Garamond"/>
          <w:b w:val="false"/>
          <w:bCs w:val="false"/>
          <w:i w:val="false"/>
          <w:iCs w:val="false"/>
          <w:color w:val="999999"/>
          <w:sz w:val="18"/>
          <w:szCs w:val="18"/>
        </w:rPr>
        <w:t xml:space="preserve">Little Bunny  ·  The PLT Press</w:t>
      </w:r>
    </w:p>
    <w:p>
      <w:pPr>
        <w:spacing w:before="0" w:after="0"/>
        <w:jc w:val="left"/>
      </w:pPr>
      <w:r>
        <w:rPr>
          <w:rFonts w:ascii="Garamond" w:cs="Garamond" w:eastAsia="Garamond" w:hAnsi="Garamond"/>
          <w:b w:val="false"/>
          <w:bCs w:val="false"/>
          <w:i/>
          <w:iCs/>
          <w:color w:val="999999"/>
          <w:sz w:val="18"/>
          <w:szCs w:val="18"/>
        </w:rPr>
        <w:t xml:space="preserve">First Edition</w:t>
      </w:r>
    </w:p>
    <w:p>
      <w:pPr>
        <w:spacing w:before="0" w:after="0"/>
        <w:jc w:val="left"/>
      </w:pPr>
      <w:r>
        <w:br/>
      </w:r>
    </w:p>
    <w:p>
      <w:pPr>
        <w:spacing w:before="500" w:after="0"/>
        <w:jc w:val="left"/>
      </w:pPr>
      <w:r>
        <w:rPr>
          <w:rFonts w:ascii="Garamond" w:cs="Garamond" w:eastAsia="Garamond" w:hAnsi="Garamond"/>
          <w:b w:val="false"/>
          <w:bCs w:val="false"/>
          <w:i w:val="false"/>
          <w:iCs w:val="false"/>
          <w:color w:val="0A0A0A"/>
          <w:sz w:val="24"/>
          <w:szCs w:val="24"/>
        </w:rPr>
        <w:t xml:space="preserve"/>
      </w:r>
    </w:p>
    <w:p>
      <w:pPr>
        <w:spacing w:before="0" w:after="80"/>
        <w:jc w:val="center"/>
      </w:pPr>
      <w:r>
        <w:rPr>
          <w:rFonts w:ascii="Garamond" w:cs="Garamond" w:eastAsia="Garamond" w:hAnsi="Garamond"/>
          <w:b w:val="false"/>
          <w:bCs w:val="false"/>
          <w:i/>
          <w:iCs/>
          <w:color w:val="C4A95A"/>
          <w:sz w:val="28"/>
          <w:szCs w:val="28"/>
        </w:rPr>
        <w:t xml:space="preserve">The pivot is not a failure.</w:t>
      </w:r>
    </w:p>
    <w:p>
      <w:pPr>
        <w:spacing w:before="0" w:after="80"/>
        <w:jc w:val="center"/>
      </w:pPr>
      <w:r>
        <w:rPr>
          <w:rFonts w:ascii="Garamond" w:cs="Garamond" w:eastAsia="Garamond" w:hAnsi="Garamond"/>
          <w:b w:val="false"/>
          <w:bCs w:val="false"/>
          <w:i/>
          <w:iCs/>
          <w:color w:val="C4A95A"/>
          <w:sz w:val="28"/>
          <w:szCs w:val="28"/>
        </w:rPr>
        <w:t xml:space="preserve">It is the moment the builder discovers that what they were building</w:t>
      </w:r>
    </w:p>
    <w:p>
      <w:pPr>
        <w:spacing w:before="0" w:after="200"/>
        <w:jc w:val="center"/>
      </w:pPr>
      <w:r>
        <w:rPr>
          <w:rFonts w:ascii="Garamond" w:cs="Garamond" w:eastAsia="Garamond" w:hAnsi="Garamond"/>
          <w:b w:val="false"/>
          <w:bCs w:val="false"/>
          <w:i/>
          <w:iCs/>
          <w:color w:val="C4A95A"/>
          <w:sz w:val="28"/>
          <w:szCs w:val="28"/>
        </w:rPr>
        <w:t xml:space="preserve">was always preparation for what they are about to build.</w:t>
      </w:r>
    </w:p>
    <w:p>
      <w:pPr>
        <w:spacing w:before="0" w:after="0"/>
        <w:jc w:val="center"/>
      </w:pPr>
      <w:r>
        <w:rPr>
          <w:rFonts w:ascii="Garamond" w:cs="Garamond" w:eastAsia="Garamond" w:hAnsi="Garamond"/>
          <w:b w:val="false"/>
          <w:bCs w:val="false"/>
          <w:i w:val="false"/>
          <w:iCs w:val="false"/>
          <w:color w:val="666666"/>
          <w:sz w:val="20"/>
          <w:szCs w:val="20"/>
        </w:rPr>
        <w:t xml:space="preserve">— The PLT Doctrine</w:t>
      </w:r>
    </w:p>
    <w:p>
      <w:pPr>
        <w:spacing w:before="0" w:after="0"/>
        <w:jc w:val="left"/>
      </w:pPr>
      <w:r>
        <w:br/>
      </w:r>
    </w:p>
    <w:p>
      <w:pPr>
        <w:spacing w:before="3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0A0A0A"/>
          <w:sz w:val="32"/>
          <w:szCs w:val="32"/>
        </w:rPr>
        <w:t xml:space="preserve">How to Read This Book</w:t>
      </w:r>
    </w:p>
    <w:p>
      <w:pPr>
        <w:pBdr>
          <w:bottom w:val="single" w:color="C4A95A" w:sz="6" w:space="6"/>
        </w:pBdr>
        <w:spacing w:before="120" w:after="120"/>
      </w:pPr>
      <w:r>
        <w:rPr>
          <w:rFonts w:ascii="Garamond" w:cs="Garamond" w:eastAsia="Garamond" w:hAnsi="Garamond"/>
          <w:b w:val="false"/>
          <w:bCs w:val="false"/>
          <w:i w:val="false"/>
          <w:iCs w:val="false"/>
          <w:color w:val="0A0A0A"/>
          <w:sz w:val="24"/>
          <w:szCs w:val="24"/>
        </w:rPr>
        <w:t xml:space="preserve"/>
      </w:r>
    </w:p>
    <w:p>
      <w:pPr>
        <w:spacing w:before="120" w:after="120"/>
        <w:jc w:val="both"/>
      </w:pPr>
      <w:r>
        <w:rPr>
          <w:rFonts w:ascii="Garamond" w:cs="Garamond" w:eastAsia="Garamond" w:hAnsi="Garamond"/>
          <w:b w:val="false"/>
          <w:bCs w:val="false"/>
          <w:i w:val="false"/>
          <w:iCs w:val="false"/>
          <w:color w:val="0A0A0A"/>
          <w:sz w:val="24"/>
          <w:szCs w:val="24"/>
        </w:rPr>
        <w:t xml:space="preserve">This book is for the person who is in the pivot or approaching one. Not the strategic pivot that simply chooses a new market segment or adds a product line. The pivot that life requires — the one where the direction you have been building toward is no longer available, no longer right, or no longer the one you are willing to continue in. The PLT framework for this moment is different from its application in stable conditions, because the pivot tests the surplus in ways that stable conditions do not. Read this book in that spirit.</w:t>
      </w:r>
    </w:p>
    <w:p>
      <w:pPr>
        <w:spacing w:before="120" w:after="120"/>
        <w:jc w:val="both"/>
      </w:pPr>
      <w:r>
        <w:rPr>
          <w:rFonts w:ascii="Garamond" w:cs="Garamond" w:eastAsia="Garamond" w:hAnsi="Garamond"/>
          <w:b w:val="false"/>
          <w:bCs w:val="false"/>
          <w:i w:val="false"/>
          <w:iCs w:val="false"/>
          <w:color w:val="0A0A0A"/>
          <w:sz w:val="24"/>
          <w:szCs w:val="24"/>
        </w:rPr>
        <w:t xml:space="preserve">The Mirror lines are particularly important here. The pivot moment is one of the most honest mirrors available — it strips the context that supported the previous version and reveals what was actually built versus what was assumed to be built. The discomfort of that revelation is the most valuable part of this book.</w:t>
      </w:r>
    </w:p>
    <w:p>
      <w:pPr>
        <w:spacing w:before="160" w:after="160"/>
        <w:jc w:val="center"/>
      </w:pPr>
      <w:r>
        <w:rPr>
          <w:rFonts w:ascii="Garamond" w:cs="Garamond" w:eastAsia="Garamond" w:hAnsi="Garamond"/>
          <w:b w:val="false"/>
          <w:bCs w:val="false"/>
          <w:i w:val="false"/>
          <w:iCs w:val="false"/>
          <w:color w:val="C4A95A"/>
          <w:sz w:val="24"/>
          <w:szCs w:val="24"/>
        </w:rPr>
        <w:t xml:space="preserve">◆</w:t>
      </w:r>
    </w:p>
    <w:p>
      <w:pPr>
        <w:spacing w:before="0" w:after="0"/>
        <w:jc w:val="left"/>
      </w:pPr>
      <w:r>
        <w:br/>
      </w:r>
    </w:p>
    <w:p>
      <w:pPr>
        <w:spacing w:before="300" w:after="0"/>
        <w:jc w:val="left"/>
      </w:pPr>
      <w:r>
        <w:rPr>
          <w:rFonts w:ascii="Garamond" w:cs="Garamond" w:eastAsia="Garamond" w:hAnsi="Garamond"/>
          <w:b w:val="false"/>
          <w:bCs w:val="false"/>
          <w:i w:val="false"/>
          <w:iCs w:val="false"/>
          <w:color w:val="0A0A0A"/>
          <w:sz w:val="24"/>
          <w:szCs w:val="24"/>
        </w:rPr>
        <w:t xml:space="preserve"/>
      </w:r>
    </w:p>
    <w:p>
      <w:pPr>
        <w:spacing w:before="0" w:after="0"/>
        <w:jc w:val="center"/>
      </w:pPr>
      <w:r>
        <w:rPr>
          <w:rFonts w:ascii="Garamond" w:cs="Garamond" w:eastAsia="Garamond" w:hAnsi="Garamond"/>
          <w:b/>
          <w:bCs/>
          <w:i w:val="false"/>
          <w:iCs w:val="false"/>
          <w:color w:val="C4A95A"/>
          <w:sz w:val="32"/>
          <w:szCs w:val="32"/>
        </w:rPr>
        <w:t xml:space="preserve">PART ONE</w:t>
      </w:r>
    </w:p>
    <w:p>
      <w:pPr>
        <w:spacing w:before="80" w:after="80"/>
        <w:jc w:val="center"/>
      </w:pPr>
      <w:r>
        <w:rPr>
          <w:rFonts w:ascii="Garamond" w:cs="Garamond" w:eastAsia="Garamond" w:hAnsi="Garamond"/>
          <w:b/>
          <w:bCs/>
          <w:i w:val="false"/>
          <w:iCs w:val="false"/>
          <w:color w:val="0A0A0A"/>
          <w:sz w:val="36"/>
          <w:szCs w:val="36"/>
        </w:rPr>
        <w:t xml:space="preserve">What a Pivot Actually Is</w:t>
      </w:r>
    </w:p>
    <w:p>
      <w:pPr>
        <w:spacing w:before="0" w:after="0"/>
        <w:jc w:val="center"/>
      </w:pPr>
      <w:r>
        <w:rPr>
          <w:rFonts w:ascii="Garamond" w:cs="Garamond" w:eastAsia="Garamond" w:hAnsi="Garamond"/>
          <w:b w:val="false"/>
          <w:bCs w:val="false"/>
          <w:i/>
          <w:iCs/>
          <w:color w:val="666666"/>
          <w:sz w:val="22"/>
          <w:szCs w:val="22"/>
        </w:rPr>
        <w:t xml:space="preserve">Not a change of direction. A change of reality. The distinction that determines whether the surplus survives it.</w:t>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40"/>
        <w:jc w:val="left"/>
      </w:pPr>
      <w:r>
        <w:rPr>
          <w:rFonts w:ascii="Garamond" w:cs="Garamond" w:eastAsia="Garamond" w:hAnsi="Garamond"/>
          <w:b/>
          <w:bCs/>
          <w:i w:val="false"/>
          <w:iCs w:val="false"/>
          <w:color w:val="C4A95A"/>
          <w:sz w:val="40"/>
          <w:szCs w:val="40"/>
        </w:rPr>
        <w:t xml:space="preserve">01</w:t>
      </w:r>
    </w:p>
    <w:p>
      <w:pPr>
        <w:pBdr>
          <w:bottom w:val="single" w:color="C4A95A" w:sz="6" w:space="6"/>
        </w:pBdr>
        <w:spacing w:before="0" w:after="80"/>
      </w:pPr>
      <w:r>
        <w:rPr>
          <w:rFonts w:ascii="Garamond" w:cs="Garamond" w:eastAsia="Garamond" w:hAnsi="Garamond"/>
          <w:b/>
          <w:bCs/>
          <w:i w:val="false"/>
          <w:iCs w:val="false"/>
          <w:color w:val="0A0A0A"/>
          <w:sz w:val="40"/>
          <w:szCs w:val="40"/>
        </w:rPr>
        <w:t xml:space="preserve">The Anatomy of the Pivot</w:t>
      </w:r>
    </w:p>
    <w:p>
      <w:pPr>
        <w:spacing w:before="40" w:after="200"/>
        <w:jc w:val="left"/>
      </w:pPr>
      <w:r>
        <w:rPr>
          <w:rFonts w:ascii="Garamond" w:cs="Garamond" w:eastAsia="Garamond" w:hAnsi="Garamond"/>
          <w:b w:val="false"/>
          <w:bCs w:val="false"/>
          <w:i/>
          <w:iCs/>
          <w:color w:val="666666"/>
          <w:sz w:val="22"/>
          <w:szCs w:val="22"/>
        </w:rPr>
        <w:t xml:space="preserve">What it is. What it is not. The four categories. Why identifying the category correctly changes everything.</w:t>
      </w:r>
    </w:p>
    <w:p>
      <w:pPr>
        <w:spacing w:before="120" w:after="120"/>
        <w:jc w:val="both"/>
      </w:pPr>
      <w:r>
        <w:rPr>
          <w:rFonts w:ascii="Garamond" w:cs="Garamond" w:eastAsia="Garamond" w:hAnsi="Garamond"/>
          <w:b w:val="false"/>
          <w:bCs w:val="false"/>
          <w:i w:val="false"/>
          <w:iCs w:val="false"/>
          <w:color w:val="0A0A0A"/>
          <w:sz w:val="24"/>
          <w:szCs w:val="24"/>
        </w:rPr>
        <w:t xml:space="preserve">The pivot is the moment when the direction that has been producing the current build is no longer the direction the build should continue in. Not a minor course correction — those happen continuously in any serious build and do not warrant the term. A pivot is a fundamental change: the thing being built, the people being served, the version of yourself that the work requires, or the values the work is producing. When any of these change at a fundamental level, the build has pivoted whether or not the person running it has acknowledged the fact.</w:t>
      </w:r>
    </w:p>
    <w:p>
      <w:pPr>
        <w:spacing w:before="120" w:after="120"/>
        <w:jc w:val="both"/>
      </w:pPr>
      <w:r>
        <w:rPr>
          <w:rFonts w:ascii="Garamond" w:cs="Garamond" w:eastAsia="Garamond" w:hAnsi="Garamond"/>
          <w:b w:val="false"/>
          <w:bCs w:val="false"/>
          <w:i w:val="false"/>
          <w:iCs w:val="false"/>
          <w:color w:val="0A0A0A"/>
          <w:sz w:val="24"/>
          <w:szCs w:val="24"/>
        </w:rPr>
        <w:t xml:space="preserve">The pivot is never a surprise, though it almost always feels like one. The signals arrive months or years before the moment of decision, carried in the specific quality of exhaustion that is different from ordinary tiredness — the exhaustion that comes from effort that no longer feels connected to a genuine purpose. In the conversations that used to generate energy and that now generate only the performance of engagement. In the distance between what the market is valuing and what the builder finds most meaningful to produce. In the specific version of themselves that the current direction requires and that feels, increasingly, like a performance rather than a genuine expression.</w:t>
      </w:r>
    </w:p>
    <w:p>
      <w:pPr>
        <w:spacing w:before="120" w:after="120"/>
        <w:jc w:val="both"/>
      </w:pPr>
      <w:r>
        <w:rPr>
          <w:rFonts w:ascii="Garamond" w:cs="Garamond" w:eastAsia="Garamond" w:hAnsi="Garamond"/>
          <w:b w:val="false"/>
          <w:bCs w:val="false"/>
          <w:i w:val="false"/>
          <w:iCs w:val="false"/>
          <w:color w:val="0A0A0A"/>
          <w:sz w:val="24"/>
          <w:szCs w:val="24"/>
        </w:rPr>
        <w:t xml:space="preserve">Most people ignore these signals until they cannot. The investment in the current direction is real — the years of work, the relationships built within it, the identity constructed around it — and acknowledging the pivot means acknowledging that the investment was made toward something that is no longer the destination. That acknowledgment is painful in proportion to how significant the investment was. And so the signals are rationalized, the exhaustion is attributed to temporary factors, and the pivot is delayed until it can no longer be delayed.</w:t>
      </w:r>
    </w:p>
    <w:p>
      <w:pPr>
        <w:spacing w:before="120" w:after="120"/>
        <w:jc w:val="both"/>
      </w:pPr>
      <w:r>
        <w:rPr>
          <w:rFonts w:ascii="Garamond" w:cs="Garamond" w:eastAsia="Garamond" w:hAnsi="Garamond"/>
          <w:b w:val="false"/>
          <w:bCs w:val="false"/>
          <w:i w:val="false"/>
          <w:iCs w:val="false"/>
          <w:color w:val="0A0A0A"/>
          <w:sz w:val="24"/>
          <w:szCs w:val="24"/>
        </w:rPr>
        <w:t xml:space="preserve">The cost of delay is almost always greater than the cost of acknowledgment. The surplus that drains during the delay period — in energy spent on work that no longer generates genuine investment, in relationships that require maintenance but no longer build anything, in the Tax of the growing gap between the performed version and the real one — is the surplus that would have funded the pivot build if the acknowledgment had happened earlier.</w:t>
      </w:r>
    </w:p>
    <w:p>
      <w:pPr>
        <w:pBdr>
          <w:left w:val="single" w:color="C4A95A" w:sz="12" w:space="12"/>
        </w:pBdr>
        <w:spacing w:before="240" w:after="240"/>
        <w:ind w:left="400"/>
        <w:jc w:val="center"/>
      </w:pPr>
      <w:r>
        <w:rPr>
          <w:rFonts w:ascii="Garamond" w:cs="Garamond" w:eastAsia="Garamond" w:hAnsi="Garamond"/>
          <w:b w:val="false"/>
          <w:bCs w:val="false"/>
          <w:i/>
          <w:iCs/>
          <w:color w:val="C4A95A"/>
          <w:sz w:val="26"/>
          <w:szCs w:val="26"/>
        </w:rPr>
        <w:t xml:space="preserve">The person who acknowledges the pivot when the first clear signal arrives pivots with the surplus intact. The person who waits until the direction collapses pivots from whatever is left.</w:t>
      </w:r>
    </w:p>
    <w:p>
      <w:pPr>
        <w:spacing w:before="120" w:after="120"/>
        <w:jc w:val="both"/>
      </w:pPr>
      <w:r>
        <w:rPr>
          <w:rFonts w:ascii="Garamond" w:cs="Garamond" w:eastAsia="Garamond" w:hAnsi="Garamond"/>
          <w:b w:val="false"/>
          <w:bCs w:val="false"/>
          <w:i w:val="false"/>
          <w:iCs w:val="false"/>
          <w:color w:val="0A0A0A"/>
          <w:sz w:val="24"/>
          <w:szCs w:val="24"/>
        </w:rPr>
        <w:t xml:space="preserve">There are four categories of pivot, each producing different signals and requiring different responses. The category matters because it determines how urgent the pivot is, what the survival strategy looks like, and what from the previous direction is worth preserving versus releasing.</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100"/>
        <w:jc w:val="left"/>
      </w:pPr>
      <w:r>
        <w:rPr>
          <w:rFonts w:ascii="Garamond" w:cs="Garamond" w:eastAsia="Garamond" w:hAnsi="Garamond"/>
          <w:b/>
          <w:bCs/>
          <w:i w:val="false"/>
          <w:iCs w:val="false"/>
          <w:color w:val="0A0A0A"/>
          <w:sz w:val="28"/>
          <w:szCs w:val="28"/>
        </w:rPr>
        <w:t xml:space="preserve">Category One: The Market Pivot</w:t>
      </w:r>
    </w:p>
    <w:p>
      <w:pPr>
        <w:spacing w:before="120" w:after="120"/>
        <w:jc w:val="both"/>
      </w:pPr>
      <w:r>
        <w:rPr>
          <w:rFonts w:ascii="Garamond" w:cs="Garamond" w:eastAsia="Garamond" w:hAnsi="Garamond"/>
          <w:b w:val="false"/>
          <w:bCs w:val="false"/>
          <w:i w:val="false"/>
          <w:iCs w:val="false"/>
          <w:color w:val="0A0A0A"/>
          <w:sz w:val="24"/>
          <w:szCs w:val="24"/>
        </w:rPr>
        <w:t xml:space="preserve">The market has moved away from what was built. Not because the work is not excellent — because the need it serves has changed, the technology that enabled it has shifted, or the population that valued it has moved on to a different solution. The market pivot is the most impersonal of the four categories. It is not about you, not about the quality of what you built, not about the decisions you made. The market moved. The question is whether you move with it or build something new.</w:t>
      </w:r>
    </w:p>
    <w:p>
      <w:pPr>
        <w:spacing w:before="120" w:after="120"/>
        <w:jc w:val="both"/>
      </w:pPr>
      <w:r>
        <w:rPr>
          <w:rFonts w:ascii="Garamond" w:cs="Garamond" w:eastAsia="Garamond" w:hAnsi="Garamond"/>
          <w:b w:val="false"/>
          <w:bCs w:val="false"/>
          <w:i w:val="false"/>
          <w:iCs w:val="false"/>
          <w:color w:val="0A0A0A"/>
          <w:sz w:val="24"/>
          <w:szCs w:val="24"/>
        </w:rPr>
        <w:t xml:space="preserve">The market pivot signal: the work is still being done at a high level and the clients who remain are genuinely satisfied, but the new clients are not arriving at the rate they used to, the conversations about future work have a different quality than they had two years ago, and the category the build occupies is being discussed in ways that suggest the next generation of buyers values something adjacent to what is currently being produced.</w:t>
      </w:r>
    </w:p>
    <w:p>
      <w:pPr>
        <w:spacing w:before="120" w:after="120"/>
        <w:jc w:val="both"/>
      </w:pPr>
      <w:r>
        <w:rPr>
          <w:rFonts w:ascii="Garamond" w:cs="Garamond" w:eastAsia="Garamond" w:hAnsi="Garamond"/>
          <w:b w:val="false"/>
          <w:bCs w:val="false"/>
          <w:i w:val="false"/>
          <w:iCs w:val="false"/>
          <w:color w:val="0A0A0A"/>
          <w:sz w:val="24"/>
          <w:szCs w:val="24"/>
        </w:rPr>
        <w:t xml:space="preserve">The survivor of the market pivot is the person who saw it coming early enough to build the bridge to the next direction while the current direction was still generating resources. The temporal leverage of genuine Profit surplus makes this possible — the ability to begin building the next direction before the current one forces the change. The person without temporal leverage pivots from necessity. The person with it pivots from choice. The experience is entirely different.</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100"/>
        <w:jc w:val="left"/>
      </w:pPr>
      <w:r>
        <w:rPr>
          <w:rFonts w:ascii="Garamond" w:cs="Garamond" w:eastAsia="Garamond" w:hAnsi="Garamond"/>
          <w:b/>
          <w:bCs/>
          <w:i w:val="false"/>
          <w:iCs w:val="false"/>
          <w:color w:val="0A0A0A"/>
          <w:sz w:val="28"/>
          <w:szCs w:val="28"/>
        </w:rPr>
        <w:t xml:space="preserve">Category Two: The Identity Pivot</w:t>
      </w:r>
    </w:p>
    <w:p>
      <w:pPr>
        <w:spacing w:before="120" w:after="120"/>
        <w:jc w:val="both"/>
      </w:pPr>
      <w:r>
        <w:rPr>
          <w:rFonts w:ascii="Garamond" w:cs="Garamond" w:eastAsia="Garamond" w:hAnsi="Garamond"/>
          <w:b w:val="false"/>
          <w:bCs w:val="false"/>
          <w:i w:val="false"/>
          <w:iCs w:val="false"/>
          <w:color w:val="0A0A0A"/>
          <w:sz w:val="24"/>
          <w:szCs w:val="24"/>
        </w:rPr>
        <w:t xml:space="preserve">The direction requires a version of yourself you are no longer willing to be. This is the most internal of the four categories and the most difficult to articulate to the people around you — because the version of yourself the direction requires may have been exactly right at an earlier stage, and the unwillingness to continue being it can look, from the outside, like a loss of commitment, a failure of discipline, or a mid-career crisis.</w:t>
      </w:r>
    </w:p>
    <w:p>
      <w:pPr>
        <w:spacing w:before="120" w:after="120"/>
        <w:jc w:val="both"/>
      </w:pPr>
      <w:r>
        <w:rPr>
          <w:rFonts w:ascii="Garamond" w:cs="Garamond" w:eastAsia="Garamond" w:hAnsi="Garamond"/>
          <w:b w:val="false"/>
          <w:bCs w:val="false"/>
          <w:i w:val="false"/>
          <w:iCs w:val="false"/>
          <w:color w:val="0A0A0A"/>
          <w:sz w:val="24"/>
          <w:szCs w:val="24"/>
        </w:rPr>
        <w:t xml:space="preserve">It is none of these things. It is the most important signal in the framework. The direction that requires you to be someone you are not in order to continue is a direction that is consuming the Identity surplus at a rate that will eventually produce a collapse. The Tax of the identity gap — the distance between the version being performed and the real one — accumulates without appearing on any ledger until it produces a withdrawal that is unmistakable.</w:t>
      </w:r>
    </w:p>
    <w:p>
      <w:pPr>
        <w:spacing w:before="120" w:after="120"/>
        <w:jc w:val="both"/>
      </w:pPr>
      <w:r>
        <w:rPr>
          <w:rFonts w:ascii="Garamond" w:cs="Garamond" w:eastAsia="Garamond" w:hAnsi="Garamond"/>
          <w:b w:val="false"/>
          <w:bCs w:val="false"/>
          <w:i w:val="false"/>
          <w:iCs w:val="false"/>
          <w:color w:val="0A0A0A"/>
          <w:sz w:val="24"/>
          <w:szCs w:val="24"/>
        </w:rPr>
        <w:t xml:space="preserve">The Identity Pivot signal: the work is technically good but the person doing it no longer finds it genuinely interesting. The meetings happen but the preparation for them feels different than it used to. The accomplishments are real but the satisfaction from them is shorter than it was. The most honest answer to the question "what would you build if you could build anything?" describes something substantially different from what is currently being built.</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100"/>
        <w:jc w:val="left"/>
      </w:pPr>
      <w:r>
        <w:rPr>
          <w:rFonts w:ascii="Garamond" w:cs="Garamond" w:eastAsia="Garamond" w:hAnsi="Garamond"/>
          <w:b/>
          <w:bCs/>
          <w:i w:val="false"/>
          <w:iCs w:val="false"/>
          <w:color w:val="0A0A0A"/>
          <w:sz w:val="28"/>
          <w:szCs w:val="28"/>
        </w:rPr>
        <w:t xml:space="preserve">Category Three: The Relationship Pivot</w:t>
      </w:r>
    </w:p>
    <w:p>
      <w:pPr>
        <w:spacing w:before="120" w:after="120"/>
        <w:jc w:val="both"/>
      </w:pPr>
      <w:r>
        <w:rPr>
          <w:rFonts w:ascii="Garamond" w:cs="Garamond" w:eastAsia="Garamond" w:hAnsi="Garamond"/>
          <w:b w:val="false"/>
          <w:bCs w:val="false"/>
          <w:i w:val="false"/>
          <w:iCs w:val="false"/>
          <w:color w:val="0A0A0A"/>
          <w:sz w:val="24"/>
          <w:szCs w:val="24"/>
        </w:rPr>
        <w:t xml:space="preserve">The people the current direction requires — the partnerships, the team, the client relationships, the professional community — are no longer the right people for the version of the work being done. The relationship pivot is painful because the people involved are often genuinely good people. The misalignment is not about character. It is about direction. The relationships were built when the directions were aligned. The directions have diverged. The relationships that made sense when they were aligned no longer make sense when they have not.</w:t>
      </w:r>
    </w:p>
    <w:p>
      <w:pPr>
        <w:spacing w:before="120" w:after="120"/>
        <w:jc w:val="both"/>
      </w:pPr>
      <w:r>
        <w:rPr>
          <w:rFonts w:ascii="Garamond" w:cs="Garamond" w:eastAsia="Garamond" w:hAnsi="Garamond"/>
          <w:b w:val="false"/>
          <w:bCs w:val="false"/>
          <w:i w:val="false"/>
          <w:iCs w:val="false"/>
          <w:color w:val="0A0A0A"/>
          <w:sz w:val="24"/>
          <w:szCs w:val="24"/>
        </w:rPr>
        <w:t xml:space="preserve">The Relationship Pivot signal: the work is still good but the most energizing conversations are happening with people outside the current structure. The internal relationships require more management than they used to. The introductions that generate the most genuine excitement are to people who are doing something different from what is currently being done. The circle that used to feel like the right circle has started to feel like the circle that was right for a previous chapter.</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100"/>
        <w:jc w:val="left"/>
      </w:pPr>
      <w:r>
        <w:rPr>
          <w:rFonts w:ascii="Garamond" w:cs="Garamond" w:eastAsia="Garamond" w:hAnsi="Garamond"/>
          <w:b/>
          <w:bCs/>
          <w:i w:val="false"/>
          <w:iCs w:val="false"/>
          <w:color w:val="0A0A0A"/>
          <w:sz w:val="28"/>
          <w:szCs w:val="28"/>
        </w:rPr>
        <w:t xml:space="preserve">Category Four: The Value Pivot</w:t>
      </w:r>
    </w:p>
    <w:p>
      <w:pPr>
        <w:spacing w:before="120" w:after="120"/>
        <w:jc w:val="both"/>
      </w:pPr>
      <w:r>
        <w:rPr>
          <w:rFonts w:ascii="Garamond" w:cs="Garamond" w:eastAsia="Garamond" w:hAnsi="Garamond"/>
          <w:b w:val="false"/>
          <w:bCs w:val="false"/>
          <w:i w:val="false"/>
          <w:iCs w:val="false"/>
          <w:color w:val="0A0A0A"/>
          <w:sz w:val="24"/>
          <w:szCs w:val="24"/>
        </w:rPr>
        <w:t xml:space="preserve">What is being built no longer produces the specific form of value that was set out to be produced. The mission has drifted — through the accumulation of compromises that each seemed reasonable individually, through the pressure of the market that rewarded something slightly adjacent to the original intention, through the gap between what the business required and what the founder intended that widened gradually and then became structural. The current direction is producing something real but it is not what was set out to produce.</w:t>
      </w:r>
    </w:p>
    <w:p>
      <w:pPr>
        <w:spacing w:before="120" w:after="120"/>
        <w:jc w:val="both"/>
      </w:pPr>
      <w:r>
        <w:rPr>
          <w:rFonts w:ascii="Garamond" w:cs="Garamond" w:eastAsia="Garamond" w:hAnsi="Garamond"/>
          <w:b w:val="false"/>
          <w:bCs w:val="false"/>
          <w:i w:val="false"/>
          <w:iCs w:val="false"/>
          <w:color w:val="0A0A0A"/>
          <w:sz w:val="24"/>
          <w:szCs w:val="24"/>
        </w:rPr>
        <w:t xml:space="preserve">The Value Pivot is the hardest to identify because it arrives through drift rather than through a discrete signal. The distance from the original intention is only fully visible in retrospect — when the builder looks at what is currently being produced and tries to trace it back to the original vision and finds that the line is no longer straight. The correction requires the clearest seeing because the drift was gradual and because the current version of the work may genuinely be valued by the market even though it is not the work that was intended.</w:t>
      </w:r>
    </w:p>
    <w:p>
      <w:pPr>
        <w:pBdr>
          <w:left w:val="single" w:color="C4A95A" w:sz="8" w:space="8"/>
        </w:pBdr>
        <w:spacing w:before="100" w:after="100"/>
        <w:ind w:left="360"/>
      </w:pPr>
      <w:r>
        <w:rPr>
          <w:rFonts w:ascii="Garamond" w:cs="Garamond" w:eastAsia="Garamond" w:hAnsi="Garamond"/>
          <w:b w:val="false"/>
          <w:bCs w:val="false"/>
          <w:i/>
          <w:iCs/>
          <w:color w:val="C4A95A"/>
          <w:sz w:val="20"/>
          <w:szCs w:val="20"/>
        </w:rPr>
        <w:t xml:space="preserve">Mirror: Which of the four categories of pivot signal am I currently receiving and choosing not to fully hear? What is the cost of the delay in my current surplus position?</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4" w:space="4"/>
        </w:pBdr>
        <w:spacing w:before="0" w:after="0"/>
        <w:ind w:left="240" w:right="240"/>
      </w:pPr>
      <w:r>
        <w:rPr>
          <w:rFonts w:ascii="Garamond" w:cs="Garamond" w:eastAsia="Garamond" w:hAnsi="Garamond"/>
          <w:b/>
          <w:bCs/>
          <w:i w:val="false"/>
          <w:iCs w:val="false"/>
          <w:color w:val="C4A95A"/>
          <w:sz w:val="20"/>
          <w:szCs w:val="20"/>
        </w:rPr>
        <w:t xml:space="preserve">THE BUILD — The Signal Audit</w:t>
      </w:r>
    </w:p>
    <w:p>
      <w:pPr>
        <w:pBdr>
          <w:bottom w:val="single" w:color="C4A95A" w:sz="4" w:space="4"/>
        </w:pBdr>
        <w:spacing w:before="80" w:after="0"/>
        <w:ind w:left="240" w:right="240"/>
        <w:jc w:val="both"/>
      </w:pPr>
      <w:r>
        <w:rPr>
          <w:rFonts w:ascii="Garamond" w:cs="Garamond" w:eastAsia="Garamond" w:hAnsi="Garamond"/>
          <w:b w:val="false"/>
          <w:bCs w:val="false"/>
          <w:i w:val="false"/>
          <w:iCs w:val="false"/>
          <w:color w:val="666666"/>
          <w:sz w:val="20"/>
          <w:szCs w:val="20"/>
        </w:rPr>
        <w:t xml:space="preserve">Sit with each of the four categories for twenty minutes each — eighty minutes total. For each category, answer honestly: (1) Is there a signal from this category that I have been rationalizing? (2) What would I have to change if I took the signal seriously? (3) What has my resistance to taking it seriously cost me in surplus over the past twelve months? The audit is not a commitment to pivot. It is the commitment to see clearly what is actually signaling and what it is telling you. Many pivots, correctly seen early, can be navigated as gradual transitions rather than crises. The earlier the seeing, the more options are available.</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40"/>
        <w:jc w:val="left"/>
      </w:pPr>
      <w:r>
        <w:rPr>
          <w:rFonts w:ascii="Garamond" w:cs="Garamond" w:eastAsia="Garamond" w:hAnsi="Garamond"/>
          <w:b/>
          <w:bCs/>
          <w:i w:val="false"/>
          <w:iCs w:val="false"/>
          <w:color w:val="C4A95A"/>
          <w:sz w:val="40"/>
          <w:szCs w:val="40"/>
        </w:rPr>
        <w:t xml:space="preserve">02</w:t>
      </w:r>
    </w:p>
    <w:p>
      <w:pPr>
        <w:pBdr>
          <w:bottom w:val="single" w:color="C4A95A" w:sz="6" w:space="6"/>
        </w:pBdr>
        <w:spacing w:before="0" w:after="80"/>
      </w:pPr>
      <w:r>
        <w:rPr>
          <w:rFonts w:ascii="Garamond" w:cs="Garamond" w:eastAsia="Garamond" w:hAnsi="Garamond"/>
          <w:b/>
          <w:bCs/>
          <w:i w:val="false"/>
          <w:iCs w:val="false"/>
          <w:color w:val="0A0A0A"/>
          <w:sz w:val="40"/>
          <w:szCs w:val="40"/>
        </w:rPr>
        <w:t xml:space="preserve">The Surplus in the Pivot</w:t>
      </w:r>
    </w:p>
    <w:p>
      <w:pPr>
        <w:spacing w:before="40" w:after="200"/>
        <w:jc w:val="left"/>
      </w:pPr>
      <w:r>
        <w:rPr>
          <w:rFonts w:ascii="Garamond" w:cs="Garamond" w:eastAsia="Garamond" w:hAnsi="Garamond"/>
          <w:b w:val="false"/>
          <w:bCs w:val="false"/>
          <w:i/>
          <w:iCs/>
          <w:color w:val="666666"/>
          <w:sz w:val="22"/>
          <w:szCs w:val="22"/>
        </w:rPr>
        <w:t xml:space="preserve">What the accumulated surplus does during a pivot. What it makes possible. What its absence makes necessary.</w:t>
      </w:r>
    </w:p>
    <w:p>
      <w:pPr>
        <w:spacing w:before="120" w:after="120"/>
        <w:jc w:val="both"/>
      </w:pPr>
      <w:r>
        <w:rPr>
          <w:rFonts w:ascii="Garamond" w:cs="Garamond" w:eastAsia="Garamond" w:hAnsi="Garamond"/>
          <w:b w:val="false"/>
          <w:bCs w:val="false"/>
          <w:i w:val="false"/>
          <w:iCs w:val="false"/>
          <w:color w:val="0A0A0A"/>
          <w:sz w:val="24"/>
          <w:szCs w:val="24"/>
        </w:rPr>
        <w:t xml:space="preserve">The pivot with genuine accumulated surplus and the pivot without it are fundamentally different experiences. Not in the emotional difficulty — the emotional difficulty of acknowledging that the direction must change is similar regardless of the surplus level. Different in the practical reality of what options are available, how much time the navigation can take, and what the build at the other end of the pivot can look like.</w:t>
      </w:r>
    </w:p>
    <w:p>
      <w:pPr>
        <w:spacing w:before="120" w:after="120"/>
        <w:jc w:val="both"/>
      </w:pPr>
      <w:r>
        <w:rPr>
          <w:rFonts w:ascii="Garamond" w:cs="Garamond" w:eastAsia="Garamond" w:hAnsi="Garamond"/>
          <w:b w:val="false"/>
          <w:bCs w:val="false"/>
          <w:i w:val="false"/>
          <w:iCs w:val="false"/>
          <w:color w:val="0A0A0A"/>
          <w:sz w:val="24"/>
          <w:szCs w:val="24"/>
        </w:rPr>
        <w:t xml:space="preserve">The Profit surplus in a pivot produces options and time. The person with genuine financial leverage can sustain the transition period — the gap between the old direction generating resources and the new direction reaching viability — without the financial desperation that forces premature decisions. The transition period for a well-executed pivot is typically six to eighteen months. The person without a Profit surplus cannot afford six to eighteen months of reduced income without making decisions about the new direction that the reduced information of the transition period does not support. The surplus is what makes the transition period a development period rather than a survival period.</w:t>
      </w:r>
    </w:p>
    <w:p>
      <w:pPr>
        <w:spacing w:before="120" w:after="120"/>
        <w:jc w:val="both"/>
      </w:pPr>
      <w:r>
        <w:rPr>
          <w:rFonts w:ascii="Garamond" w:cs="Garamond" w:eastAsia="Garamond" w:hAnsi="Garamond"/>
          <w:b w:val="false"/>
          <w:bCs w:val="false"/>
          <w:i w:val="false"/>
          <w:iCs w:val="false"/>
          <w:color w:val="0A0A0A"/>
          <w:sz w:val="24"/>
          <w:szCs w:val="24"/>
        </w:rPr>
        <w:t xml:space="preserve">Temporal leverage in a pivot is specifically what makes the difference between building the bridge while the current direction is still funded versus being pushed off the edge into the new direction before the bridge is built. The person who can afford to spend six months building in the new direction while the old one is still generating revenue arrives at the pivot point with evidence, relationships, and clarity that the person who pivoted under necessity does not have. That evidence, those relationships, and that clarity are the new surplus's foundation. They cannot be acquired under pressure at the speed the pressure requires.</w:t>
      </w:r>
    </w:p>
    <w:p>
      <w:pPr>
        <w:spacing w:before="120" w:after="120"/>
        <w:jc w:val="both"/>
      </w:pPr>
      <w:r>
        <w:rPr>
          <w:rFonts w:ascii="Garamond" w:cs="Garamond" w:eastAsia="Garamond" w:hAnsi="Garamond"/>
          <w:b w:val="false"/>
          <w:bCs w:val="false"/>
          <w:i w:val="false"/>
          <w:iCs w:val="false"/>
          <w:color w:val="0A0A0A"/>
          <w:sz w:val="24"/>
          <w:szCs w:val="24"/>
        </w:rPr>
        <w:t xml:space="preserve">The Love surplus in a pivot produces support of the most practically valuable kind. The deep accounts — the relationships built through years of genuine investment — are the relationships that provide access to the new direction. The introduction to the person who knows the domain the pivot is moving toward. The referral that opens the first conversation in the new market. The honest assessment from someone who knows you well enough to tell you specifically what they see as the strengths and risks of the direction you are moving in. The Love surplus is what turns the pivot from a solo act into a supported transition.</w:t>
      </w:r>
    </w:p>
    <w:p>
      <w:pPr>
        <w:spacing w:before="120" w:after="120"/>
        <w:jc w:val="both"/>
      </w:pPr>
      <w:r>
        <w:rPr>
          <w:rFonts w:ascii="Garamond" w:cs="Garamond" w:eastAsia="Garamond" w:hAnsi="Garamond"/>
          <w:b w:val="false"/>
          <w:bCs w:val="false"/>
          <w:i w:val="false"/>
          <w:iCs w:val="false"/>
          <w:color w:val="0A0A0A"/>
          <w:sz w:val="24"/>
          <w:szCs w:val="24"/>
        </w:rPr>
        <w:t xml:space="preserve">The Love surplus also provides something less tangible and equally valuable: the patience of the people closest to you. The long-term partner who understands that the transition period will be difficult and who invests in the new direction before it has produced any evidence that investment is warranted. The team member who stays through the uncertainty because the relationship is real enough to survive the uncertainty. The friend who calls to check on the build because they have a genuine interest in the outcome. The Love surplus is, in the pivot period, the difference between navigating the transition with support and navigating it alone.</w:t>
      </w:r>
    </w:p>
    <w:p>
      <w:pPr>
        <w:spacing w:before="120" w:after="120"/>
        <w:jc w:val="both"/>
      </w:pPr>
      <w:r>
        <w:rPr>
          <w:rFonts w:ascii="Garamond" w:cs="Garamond" w:eastAsia="Garamond" w:hAnsi="Garamond"/>
          <w:b w:val="false"/>
          <w:bCs w:val="false"/>
          <w:i w:val="false"/>
          <w:iCs w:val="false"/>
          <w:color w:val="0A0A0A"/>
          <w:sz w:val="24"/>
          <w:szCs w:val="24"/>
        </w:rPr>
        <w:t xml:space="preserve">The Tax reduction in a pivot produces the resource that is most scarce in a transition: cognitive and emotional bandwidth. The pivot period requires genuine creative thinking — the work of designing the new direction, building the new relationships, and developing the new capabilities that the next chapter requires. This thinking is the highest-leverage activity available during the transition period. It cannot happen at a sufficient quality level if the background is full — if the person is simultaneously managing the full Tax load of the previous direction plus the Tax of the transition itself plus whatever additional Tax the life outside the work is generating.</w:t>
      </w:r>
    </w:p>
    <w:p>
      <w:pPr>
        <w:spacing w:before="120" w:after="120"/>
        <w:jc w:val="both"/>
      </w:pPr>
      <w:r>
        <w:rPr>
          <w:rFonts w:ascii="Garamond" w:cs="Garamond" w:eastAsia="Garamond" w:hAnsi="Garamond"/>
          <w:b w:val="false"/>
          <w:bCs w:val="false"/>
          <w:i w:val="false"/>
          <w:iCs w:val="false"/>
          <w:color w:val="0A0A0A"/>
          <w:sz w:val="24"/>
          <w:szCs w:val="24"/>
        </w:rPr>
        <w:t xml:space="preserve">The person who has been running systematic Tax reduction before the pivot arrives at the transition with cleared space. The person who has not arrives with the full accumulated Tax load of the previous direction, which must now be managed simultaneously with the demands of the transition. The latter experience is genuinely difficult in ways that the Tax-reduced version is not. The Tax reduction work done before the pivot is paid back in the pivot with interest.</w:t>
      </w:r>
    </w:p>
    <w:p>
      <w:pPr>
        <w:pBdr>
          <w:left w:val="single" w:color="C4A95A" w:sz="12" w:space="12"/>
        </w:pBdr>
        <w:spacing w:before="240" w:after="240"/>
        <w:ind w:left="400"/>
        <w:jc w:val="center"/>
      </w:pPr>
      <w:r>
        <w:rPr>
          <w:rFonts w:ascii="Garamond" w:cs="Garamond" w:eastAsia="Garamond" w:hAnsi="Garamond"/>
          <w:b w:val="false"/>
          <w:bCs w:val="false"/>
          <w:i/>
          <w:iCs/>
          <w:color w:val="C4A95A"/>
          <w:sz w:val="26"/>
          <w:szCs w:val="26"/>
        </w:rPr>
        <w:t xml:space="preserve">The surplus does not make the pivot easy. It makes it possible. That is the difference between a beginning and a collapse.</w:t>
      </w:r>
    </w:p>
    <w:p>
      <w:pPr>
        <w:pBdr>
          <w:left w:val="single" w:color="C4A95A" w:sz="8" w:space="8"/>
        </w:pBdr>
        <w:spacing w:before="100" w:after="100"/>
        <w:ind w:left="360"/>
      </w:pPr>
      <w:r>
        <w:rPr>
          <w:rFonts w:ascii="Garamond" w:cs="Garamond" w:eastAsia="Garamond" w:hAnsi="Garamond"/>
          <w:b w:val="false"/>
          <w:bCs w:val="false"/>
          <w:i/>
          <w:iCs/>
          <w:color w:val="C4A95A"/>
          <w:sz w:val="20"/>
          <w:szCs w:val="20"/>
        </w:rPr>
        <w:t xml:space="preserve">Mirror: If I had to pivot today, what would my surplus allow me to do that the absence of surplus would prevent? What specifically would I be unable to do?</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4" w:space="4"/>
        </w:pBdr>
        <w:spacing w:before="0" w:after="0"/>
        <w:ind w:left="240" w:right="240"/>
      </w:pPr>
      <w:r>
        <w:rPr>
          <w:rFonts w:ascii="Garamond" w:cs="Garamond" w:eastAsia="Garamond" w:hAnsi="Garamond"/>
          <w:b/>
          <w:bCs/>
          <w:i w:val="false"/>
          <w:iCs w:val="false"/>
          <w:color w:val="C4A95A"/>
          <w:sz w:val="20"/>
          <w:szCs w:val="20"/>
        </w:rPr>
        <w:t xml:space="preserve">THE BUILD — The Pivot Resilience Number</w:t>
      </w:r>
    </w:p>
    <w:p>
      <w:pPr>
        <w:pBdr>
          <w:bottom w:val="single" w:color="C4A95A" w:sz="4" w:space="4"/>
        </w:pBdr>
        <w:spacing w:before="80" w:after="0"/>
        <w:ind w:left="240" w:right="240"/>
        <w:jc w:val="both"/>
      </w:pPr>
      <w:r>
        <w:rPr>
          <w:rFonts w:ascii="Garamond" w:cs="Garamond" w:eastAsia="Garamond" w:hAnsi="Garamond"/>
          <w:b w:val="false"/>
          <w:bCs w:val="false"/>
          <w:i w:val="false"/>
          <w:iCs w:val="false"/>
          <w:color w:val="666666"/>
          <w:sz w:val="20"/>
          <w:szCs w:val="20"/>
        </w:rPr>
        <w:t xml:space="preserve">Calculate your Pivot Resilience Number: (1) Profit months — how many months can your current financial position sustain a transition period with reduced income? (2) Love depth — how many people in your network have genuine knowledge of the domain you would most likely pivot toward, and would make an introduction for you on the basis of genuine relationship rather than favor? (3) Tax headroom — on a scale of 1-10, what is your current cognitive and emotional availability for high-quality new thinking, where 10 is full availability and 1 is fully consumed? The three numbers tell you whether a pivot right now would be navigated from strength, from neutral, or from deficit. They also tell you what to build most urgently before the pivot becomes necessary.</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300" w:after="0"/>
        <w:jc w:val="left"/>
      </w:pPr>
      <w:r>
        <w:rPr>
          <w:rFonts w:ascii="Garamond" w:cs="Garamond" w:eastAsia="Garamond" w:hAnsi="Garamond"/>
          <w:b w:val="false"/>
          <w:bCs w:val="false"/>
          <w:i w:val="false"/>
          <w:iCs w:val="false"/>
          <w:color w:val="0A0A0A"/>
          <w:sz w:val="24"/>
          <w:szCs w:val="24"/>
        </w:rPr>
        <w:t xml:space="preserve"/>
      </w:r>
    </w:p>
    <w:p>
      <w:pPr>
        <w:spacing w:before="0" w:after="0"/>
        <w:jc w:val="center"/>
      </w:pPr>
      <w:r>
        <w:rPr>
          <w:rFonts w:ascii="Garamond" w:cs="Garamond" w:eastAsia="Garamond" w:hAnsi="Garamond"/>
          <w:b/>
          <w:bCs/>
          <w:i w:val="false"/>
          <w:iCs w:val="false"/>
          <w:color w:val="C4A95A"/>
          <w:sz w:val="32"/>
          <w:szCs w:val="32"/>
        </w:rPr>
        <w:t xml:space="preserve">PART TWO</w:t>
      </w:r>
    </w:p>
    <w:p>
      <w:pPr>
        <w:spacing w:before="80" w:after="80"/>
        <w:jc w:val="center"/>
      </w:pPr>
      <w:r>
        <w:rPr>
          <w:rFonts w:ascii="Garamond" w:cs="Garamond" w:eastAsia="Garamond" w:hAnsi="Garamond"/>
          <w:b/>
          <w:bCs/>
          <w:i w:val="false"/>
          <w:iCs w:val="false"/>
          <w:color w:val="0A0A0A"/>
          <w:sz w:val="36"/>
          <w:szCs w:val="36"/>
        </w:rPr>
        <w:t xml:space="preserve">Reading the Signals</w:t>
      </w:r>
    </w:p>
    <w:p>
      <w:pPr>
        <w:spacing w:before="0" w:after="0"/>
        <w:jc w:val="center"/>
      </w:pPr>
      <w:r>
        <w:rPr>
          <w:rFonts w:ascii="Garamond" w:cs="Garamond" w:eastAsia="Garamond" w:hAnsi="Garamond"/>
          <w:b w:val="false"/>
          <w:bCs w:val="false"/>
          <w:i/>
          <w:iCs/>
          <w:color w:val="666666"/>
          <w:sz w:val="22"/>
          <w:szCs w:val="22"/>
        </w:rPr>
        <w:t xml:space="preserve">The specific indicators that a pivot is required. What each signal category produces. How to validate what you are seeing.</w:t>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40"/>
        <w:jc w:val="left"/>
      </w:pPr>
      <w:r>
        <w:rPr>
          <w:rFonts w:ascii="Garamond" w:cs="Garamond" w:eastAsia="Garamond" w:hAnsi="Garamond"/>
          <w:b/>
          <w:bCs/>
          <w:i w:val="false"/>
          <w:iCs w:val="false"/>
          <w:color w:val="C4A95A"/>
          <w:sz w:val="40"/>
          <w:szCs w:val="40"/>
        </w:rPr>
        <w:t xml:space="preserve">03</w:t>
      </w:r>
    </w:p>
    <w:p>
      <w:pPr>
        <w:pBdr>
          <w:bottom w:val="single" w:color="C4A95A" w:sz="6" w:space="6"/>
        </w:pBdr>
        <w:spacing w:before="0" w:after="80"/>
      </w:pPr>
      <w:r>
        <w:rPr>
          <w:rFonts w:ascii="Garamond" w:cs="Garamond" w:eastAsia="Garamond" w:hAnsi="Garamond"/>
          <w:b/>
          <w:bCs/>
          <w:i w:val="false"/>
          <w:iCs w:val="false"/>
          <w:color w:val="0A0A0A"/>
          <w:sz w:val="40"/>
          <w:szCs w:val="40"/>
        </w:rPr>
        <w:t xml:space="preserve">When the Signals Arrive</w:t>
      </w:r>
    </w:p>
    <w:p>
      <w:pPr>
        <w:spacing w:before="40" w:after="200"/>
        <w:jc w:val="left"/>
      </w:pPr>
      <w:r>
        <w:rPr>
          <w:rFonts w:ascii="Garamond" w:cs="Garamond" w:eastAsia="Garamond" w:hAnsi="Garamond"/>
          <w:b w:val="false"/>
          <w:bCs w:val="false"/>
          <w:i/>
          <w:iCs/>
          <w:color w:val="666666"/>
          <w:sz w:val="22"/>
          <w:szCs w:val="22"/>
        </w:rPr>
        <w:t xml:space="preserve">The specific forms each signal category takes. How to distinguish signal from noise. What validation looks like.</w:t>
      </w:r>
    </w:p>
    <w:p>
      <w:pPr>
        <w:spacing w:before="120" w:after="120"/>
        <w:jc w:val="both"/>
      </w:pPr>
      <w:r>
        <w:rPr>
          <w:rFonts w:ascii="Garamond" w:cs="Garamond" w:eastAsia="Garamond" w:hAnsi="Garamond"/>
          <w:b w:val="false"/>
          <w:bCs w:val="false"/>
          <w:i w:val="false"/>
          <w:iCs w:val="false"/>
          <w:color w:val="0A0A0A"/>
          <w:sz w:val="24"/>
          <w:szCs w:val="24"/>
        </w:rPr>
        <w:t xml:space="preserve">The pivot signals described in the first chapter arrive in specific forms that can be identified, documented, and validated. The skill is in distinguishing genuine pivot signals from the noise that accompanies any demanding build — the ordinary tiredness, the temporary market softness, the friction of a difficult period that does not indicate a fundamental direction problem.</w:t>
      </w:r>
    </w:p>
    <w:p>
      <w:pPr>
        <w:spacing w:before="120" w:after="120"/>
        <w:jc w:val="both"/>
      </w:pPr>
      <w:r>
        <w:rPr>
          <w:rFonts w:ascii="Garamond" w:cs="Garamond" w:eastAsia="Garamond" w:hAnsi="Garamond"/>
          <w:b w:val="false"/>
          <w:bCs w:val="false"/>
          <w:i w:val="false"/>
          <w:iCs w:val="false"/>
          <w:color w:val="0A0A0A"/>
          <w:sz w:val="24"/>
          <w:szCs w:val="24"/>
        </w:rPr>
        <w:t xml:space="preserve">The key distinction: genuine pivot signals are structural, not episodic. They do not resolve with rest, with the completion of a difficult project, or with the arrival of a new opportunity. They persist across the good moments and the bad ones. They are present in the conversation with the person whose opinion you trust most, when you answer their honest question about whether the direction still feels right. They are present in the specific quality of your engagement with the work — not the performance of engagement, which can be sustained almost indefinitely, but the genuine interest that the performance is supposed to represent.</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100"/>
        <w:jc w:val="left"/>
      </w:pPr>
      <w:r>
        <w:rPr>
          <w:rFonts w:ascii="Garamond" w:cs="Garamond" w:eastAsia="Garamond" w:hAnsi="Garamond"/>
          <w:b/>
          <w:bCs/>
          <w:i w:val="false"/>
          <w:iCs w:val="false"/>
          <w:color w:val="0A0A0A"/>
          <w:sz w:val="28"/>
          <w:szCs w:val="28"/>
        </w:rPr>
        <w:t xml:space="preserve">Validating the Market Pivot Signal</w:t>
      </w:r>
    </w:p>
    <w:p>
      <w:pPr>
        <w:spacing w:before="120" w:after="120"/>
        <w:jc w:val="both"/>
      </w:pPr>
      <w:r>
        <w:rPr>
          <w:rFonts w:ascii="Garamond" w:cs="Garamond" w:eastAsia="Garamond" w:hAnsi="Garamond"/>
          <w:b w:val="false"/>
          <w:bCs w:val="false"/>
          <w:i w:val="false"/>
          <w:iCs w:val="false"/>
          <w:color w:val="0A0A0A"/>
          <w:sz w:val="24"/>
          <w:szCs w:val="24"/>
        </w:rPr>
        <w:t xml:space="preserve">The market pivot signal is the most objectively verifiable of the four categories because it can be measured. What is the trend in new client acquisition over the past three years? Not revenue — new clients entering the pipeline at the top. Is the category being discussed by the people who shape market opinion in terms that match what you produce, or in terms that describe something adjacent to what you produce? Are the most interesting new entrants in your market doing what you do or doing something that is slightly different in a way that the market is valuing? These questions have answers that can be researched. Research them. The data tells you whether the market signal is real or whether the temporary softness is being misread as a structural shift.</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100"/>
        <w:jc w:val="left"/>
      </w:pPr>
      <w:r>
        <w:rPr>
          <w:rFonts w:ascii="Garamond" w:cs="Garamond" w:eastAsia="Garamond" w:hAnsi="Garamond"/>
          <w:b/>
          <w:bCs/>
          <w:i w:val="false"/>
          <w:iCs w:val="false"/>
          <w:color w:val="0A0A0A"/>
          <w:sz w:val="28"/>
          <w:szCs w:val="28"/>
        </w:rPr>
        <w:t xml:space="preserve">Validating the Identity Pivot Signal</w:t>
      </w:r>
    </w:p>
    <w:p>
      <w:pPr>
        <w:spacing w:before="120" w:after="120"/>
        <w:jc w:val="both"/>
      </w:pPr>
      <w:r>
        <w:rPr>
          <w:rFonts w:ascii="Garamond" w:cs="Garamond" w:eastAsia="Garamond" w:hAnsi="Garamond"/>
          <w:b w:val="false"/>
          <w:bCs w:val="false"/>
          <w:i w:val="false"/>
          <w:iCs w:val="false"/>
          <w:color w:val="0A0A0A"/>
          <w:sz w:val="24"/>
          <w:szCs w:val="24"/>
        </w:rPr>
        <w:t xml:space="preserve">The Identity Pivot signal requires a different kind of validation — not research, conversation. Specifically, the conversation with a small number of people who know you well enough and are honest enough to tell you what they actually see. Not what they want to see. Not what would be comfortable to say. What the person who has been watching you work for the past two to three years actually observes about the quality of your genuine engagement with the work.</w:t>
      </w:r>
    </w:p>
    <w:p>
      <w:pPr>
        <w:spacing w:before="120" w:after="120"/>
        <w:jc w:val="both"/>
      </w:pPr>
      <w:r>
        <w:rPr>
          <w:rFonts w:ascii="Garamond" w:cs="Garamond" w:eastAsia="Garamond" w:hAnsi="Garamond"/>
          <w:b w:val="false"/>
          <w:bCs w:val="false"/>
          <w:i w:val="false"/>
          <w:iCs w:val="false"/>
          <w:color w:val="0A0A0A"/>
          <w:sz w:val="24"/>
          <w:szCs w:val="24"/>
        </w:rPr>
        <w:t xml:space="preserve">The validation question: "I want to ask you something honestly, and I need you to be honest back. Does the work seem to energize me the same way it did two years ago?" The person who knows you will have an answer. The answer is the validation. If the people who know you best consistently report that something has shifted — that the engagement is not what it was, that the version of you in the work is slightly different from the version that used to show up — the signal is real.</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100"/>
        <w:jc w:val="left"/>
      </w:pPr>
      <w:r>
        <w:rPr>
          <w:rFonts w:ascii="Garamond" w:cs="Garamond" w:eastAsia="Garamond" w:hAnsi="Garamond"/>
          <w:b/>
          <w:bCs/>
          <w:i w:val="false"/>
          <w:iCs w:val="false"/>
          <w:color w:val="0A0A0A"/>
          <w:sz w:val="28"/>
          <w:szCs w:val="28"/>
        </w:rPr>
        <w:t xml:space="preserve">Validating the Relationship and Value Pivot Signals</w:t>
      </w:r>
    </w:p>
    <w:p>
      <w:pPr>
        <w:spacing w:before="120" w:after="120"/>
        <w:jc w:val="both"/>
      </w:pPr>
      <w:r>
        <w:rPr>
          <w:rFonts w:ascii="Garamond" w:cs="Garamond" w:eastAsia="Garamond" w:hAnsi="Garamond"/>
          <w:b w:val="false"/>
          <w:bCs w:val="false"/>
          <w:i w:val="false"/>
          <w:iCs w:val="false"/>
          <w:color w:val="0A0A0A"/>
          <w:sz w:val="24"/>
          <w:szCs w:val="24"/>
        </w:rPr>
        <w:t xml:space="preserve">The Relationship Pivot validation: map the twenty relationships that have generated the most meaningful professional conversations in the past twelve months. What proportion of them are inside the current structure versus outside it? Where are the most alive conversations happening? If the energy is consistently running away from the current structure rather than within it, the signal is real.</w:t>
      </w:r>
    </w:p>
    <w:p>
      <w:pPr>
        <w:spacing w:before="120" w:after="120"/>
        <w:jc w:val="both"/>
      </w:pPr>
      <w:r>
        <w:rPr>
          <w:rFonts w:ascii="Garamond" w:cs="Garamond" w:eastAsia="Garamond" w:hAnsi="Garamond"/>
          <w:b w:val="false"/>
          <w:bCs w:val="false"/>
          <w:i w:val="false"/>
          <w:iCs w:val="false"/>
          <w:color w:val="0A0A0A"/>
          <w:sz w:val="24"/>
          <w:szCs w:val="24"/>
        </w:rPr>
        <w:t xml:space="preserve">The Value Pivot validation: write the specific description of the value you set out to produce when the current direction began. Then write the specific description of the value currently being produced. Compare them. The distance between the descriptions is the drift. If the drift is large enough that the current description no longer resonates with the original one, the signal is real.</w:t>
      </w:r>
    </w:p>
    <w:p>
      <w:pPr>
        <w:pBdr>
          <w:left w:val="single" w:color="C4A95A" w:sz="8" w:space="8"/>
        </w:pBdr>
        <w:spacing w:before="100" w:after="100"/>
        <w:ind w:left="360"/>
      </w:pPr>
      <w:r>
        <w:rPr>
          <w:rFonts w:ascii="Garamond" w:cs="Garamond" w:eastAsia="Garamond" w:hAnsi="Garamond"/>
          <w:b w:val="false"/>
          <w:bCs w:val="false"/>
          <w:i/>
          <w:iCs/>
          <w:color w:val="C4A95A"/>
          <w:sz w:val="20"/>
          <w:szCs w:val="20"/>
        </w:rPr>
        <w:t xml:space="preserve">Mirror: Have I validated the pivot signals I am receiving, or am I either dismissing them without validation or accepting them without validation? What does honest validation of the clearest signal reveal?</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4" w:space="4"/>
        </w:pBdr>
        <w:spacing w:before="0" w:after="0"/>
        <w:ind w:left="240" w:right="240"/>
      </w:pPr>
      <w:r>
        <w:rPr>
          <w:rFonts w:ascii="Garamond" w:cs="Garamond" w:eastAsia="Garamond" w:hAnsi="Garamond"/>
          <w:b/>
          <w:bCs/>
          <w:i w:val="false"/>
          <w:iCs w:val="false"/>
          <w:color w:val="C4A95A"/>
          <w:sz w:val="20"/>
          <w:szCs w:val="20"/>
        </w:rPr>
        <w:t xml:space="preserve">THE BUILD — The Validation Protocol</w:t>
      </w:r>
    </w:p>
    <w:p>
      <w:pPr>
        <w:pBdr>
          <w:bottom w:val="single" w:color="C4A95A" w:sz="4" w:space="4"/>
        </w:pBdr>
        <w:spacing w:before="80" w:after="0"/>
        <w:ind w:left="240" w:right="240"/>
        <w:jc w:val="both"/>
      </w:pPr>
      <w:r>
        <w:rPr>
          <w:rFonts w:ascii="Garamond" w:cs="Garamond" w:eastAsia="Garamond" w:hAnsi="Garamond"/>
          <w:b w:val="false"/>
          <w:bCs w:val="false"/>
          <w:i w:val="false"/>
          <w:iCs w:val="false"/>
          <w:color w:val="666666"/>
          <w:sz w:val="20"/>
          <w:szCs w:val="20"/>
        </w:rPr>
        <w:t xml:space="preserve">Run the validation for the signal category you identified in Chapter One. Specifically: Market Pivot — pull three years of new client acquisition data and write a one-paragraph honest assessment of what it shows. Identity Pivot — identify three people who know your work well and ask them the validation question directly. Relationship Pivot — map the twenty most alive professional conversations of the past twelve months and assess where they are happening. Value Pivot — write both descriptions and measure the distance. The validation either confirms the signal or clarifies that it is noise. Either outcome is useful. The refusal to validate is the expensive option.</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40"/>
        <w:jc w:val="left"/>
      </w:pPr>
      <w:r>
        <w:rPr>
          <w:rFonts w:ascii="Garamond" w:cs="Garamond" w:eastAsia="Garamond" w:hAnsi="Garamond"/>
          <w:b/>
          <w:bCs/>
          <w:i w:val="false"/>
          <w:iCs w:val="false"/>
          <w:color w:val="C4A95A"/>
          <w:sz w:val="40"/>
          <w:szCs w:val="40"/>
        </w:rPr>
        <w:t xml:space="preserve">04</w:t>
      </w:r>
    </w:p>
    <w:p>
      <w:pPr>
        <w:pBdr>
          <w:bottom w:val="single" w:color="C4A95A" w:sz="6" w:space="6"/>
        </w:pBdr>
        <w:spacing w:before="0" w:after="80"/>
      </w:pPr>
      <w:r>
        <w:rPr>
          <w:rFonts w:ascii="Garamond" w:cs="Garamond" w:eastAsia="Garamond" w:hAnsi="Garamond"/>
          <w:b/>
          <w:bCs/>
          <w:i w:val="false"/>
          <w:iCs w:val="false"/>
          <w:color w:val="0A0A0A"/>
          <w:sz w:val="40"/>
          <w:szCs w:val="40"/>
        </w:rPr>
        <w:t xml:space="preserve">The Pivot Decision</w:t>
      </w:r>
    </w:p>
    <w:p>
      <w:pPr>
        <w:spacing w:before="40" w:after="200"/>
        <w:jc w:val="left"/>
      </w:pPr>
      <w:r>
        <w:rPr>
          <w:rFonts w:ascii="Garamond" w:cs="Garamond" w:eastAsia="Garamond" w:hAnsi="Garamond"/>
          <w:b w:val="false"/>
          <w:bCs w:val="false"/>
          <w:i/>
          <w:iCs/>
          <w:color w:val="666666"/>
          <w:sz w:val="22"/>
          <w:szCs w:val="22"/>
        </w:rPr>
        <w:t xml:space="preserve">When the signal is confirmed. How the decision is made. What the decision requires.</w:t>
      </w:r>
    </w:p>
    <w:p>
      <w:pPr>
        <w:spacing w:before="120" w:after="120"/>
        <w:jc w:val="both"/>
      </w:pPr>
      <w:r>
        <w:rPr>
          <w:rFonts w:ascii="Garamond" w:cs="Garamond" w:eastAsia="Garamond" w:hAnsi="Garamond"/>
          <w:b w:val="false"/>
          <w:bCs w:val="false"/>
          <w:i w:val="false"/>
          <w:iCs w:val="false"/>
          <w:color w:val="0A0A0A"/>
          <w:sz w:val="24"/>
          <w:szCs w:val="24"/>
        </w:rPr>
        <w:t xml:space="preserve">The pivot decision is made when the validation confirms the signal and the cost of continuing in the current direction exceeds the cost of the pivot. This calculation is almost always more complex than it appears because the cost of continuing is often invisible — it is paid in the ongoing drain of the surplus, in the accumulated Tax of the identity gap, in the opportunity cost of the build that is not happening while the current direction is being maintained — while the cost of the pivot is highly visible and immediate.</w:t>
      </w:r>
    </w:p>
    <w:p>
      <w:pPr>
        <w:spacing w:before="120" w:after="120"/>
        <w:jc w:val="both"/>
      </w:pPr>
      <w:r>
        <w:rPr>
          <w:rFonts w:ascii="Garamond" w:cs="Garamond" w:eastAsia="Garamond" w:hAnsi="Garamond"/>
          <w:b w:val="false"/>
          <w:bCs w:val="false"/>
          <w:i w:val="false"/>
          <w:iCs w:val="false"/>
          <w:color w:val="0A0A0A"/>
          <w:sz w:val="24"/>
          <w:szCs w:val="24"/>
        </w:rPr>
        <w:t xml:space="preserve">The calculation is also distorted by the specific psychology of sunk costs. The investment in the current direction — the years of work, the relationships built within it, the identity constructed around it — feels like a loss when the direction is abandoned. The rational framing is correct and genuinely difficult to execute: the past investment cannot be recovered regardless of the decision. The decision is about the future, not the past. What does the future look like with continued investment in the current direction versus investment in the new one? That comparison is the decision.</w:t>
      </w:r>
    </w:p>
    <w:p>
      <w:pPr>
        <w:spacing w:before="120" w:after="120"/>
        <w:jc w:val="both"/>
      </w:pPr>
      <w:r>
        <w:rPr>
          <w:rFonts w:ascii="Garamond" w:cs="Garamond" w:eastAsia="Garamond" w:hAnsi="Garamond"/>
          <w:b w:val="false"/>
          <w:bCs w:val="false"/>
          <w:i w:val="false"/>
          <w:iCs w:val="false"/>
          <w:color w:val="0A0A0A"/>
          <w:sz w:val="24"/>
          <w:szCs w:val="24"/>
        </w:rPr>
        <w:t xml:space="preserve">The pivot decision has three components: the acknowledgment, the commitment, and the timing. The acknowledgment is the private confirmation, to yourself, that the direction must change. The commitment is the decision that the new direction is real and that genuine resources will be invested in it. The timing is the specific answer to the question of when the investment shifts — not when the transition completes, but when the deliberate build of the new direction begins.</w:t>
      </w:r>
    </w:p>
    <w:p>
      <w:pPr>
        <w:spacing w:before="120" w:after="120"/>
        <w:jc w:val="both"/>
      </w:pPr>
      <w:r>
        <w:rPr>
          <w:rFonts w:ascii="Garamond" w:cs="Garamond" w:eastAsia="Garamond" w:hAnsi="Garamond"/>
          <w:b w:val="false"/>
          <w:bCs w:val="false"/>
          <w:i w:val="false"/>
          <w:iCs w:val="false"/>
          <w:color w:val="0A0A0A"/>
          <w:sz w:val="24"/>
          <w:szCs w:val="24"/>
        </w:rPr>
        <w:t xml:space="preserve">The acknowledgment and the commitment are internal. They can happen before anyone else knows they have happened. The timing is external — it determines when the people around you, inside the current structure and outside it, begin to experience the pivot. The management of the timing is the most complex interpersonal dimension of the pivot decision and the one that most directly affects the Love accounts the pivot will touch.</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100"/>
        <w:jc w:val="left"/>
      </w:pPr>
      <w:r>
        <w:rPr>
          <w:rFonts w:ascii="Garamond" w:cs="Garamond" w:eastAsia="Garamond" w:hAnsi="Garamond"/>
          <w:b/>
          <w:bCs/>
          <w:i w:val="false"/>
          <w:iCs w:val="false"/>
          <w:color w:val="0A0A0A"/>
          <w:sz w:val="28"/>
          <w:szCs w:val="28"/>
        </w:rPr>
        <w:t xml:space="preserve">What the People Around You Need</w:t>
      </w:r>
    </w:p>
    <w:p>
      <w:pPr>
        <w:spacing w:before="120" w:after="120"/>
        <w:jc w:val="both"/>
      </w:pPr>
      <w:r>
        <w:rPr>
          <w:rFonts w:ascii="Garamond" w:cs="Garamond" w:eastAsia="Garamond" w:hAnsi="Garamond"/>
          <w:b w:val="false"/>
          <w:bCs w:val="false"/>
          <w:i w:val="false"/>
          <w:iCs w:val="false"/>
          <w:color w:val="0A0A0A"/>
          <w:sz w:val="24"/>
          <w:szCs w:val="24"/>
        </w:rPr>
        <w:t xml:space="preserve">The people inside the current structure — the team, the partners, the clients — need honesty about the direction earlier than most pivot-makers provide it. The instinct to protect people from uncertainty by delaying the disclosure of the pivot is understandable and usually wrong. The people inside the structure are already sensing the uncertainty. They are reading the signals in the leader's behavior, in the quality of the conversations, in the specific way the future is being discussed or not discussed. Delayed disclosure does not protect them from uncertainty. It adds the Tax of working in a structure where the leader knows something they do not.</w:t>
      </w:r>
    </w:p>
    <w:p>
      <w:pPr>
        <w:spacing w:before="120" w:after="120"/>
        <w:jc w:val="both"/>
      </w:pPr>
      <w:r>
        <w:rPr>
          <w:rFonts w:ascii="Garamond" w:cs="Garamond" w:eastAsia="Garamond" w:hAnsi="Garamond"/>
          <w:b w:val="false"/>
          <w:bCs w:val="false"/>
          <w:i w:val="false"/>
          <w:iCs w:val="false"/>
          <w:color w:val="0A0A0A"/>
          <w:sz w:val="24"/>
          <w:szCs w:val="24"/>
        </w:rPr>
        <w:t xml:space="preserve">The honest disclosure of the pivot — with genuine clarity about what the person disclosing it does and does not know about what comes next — is a Love account deposit in every relationship it touches. Not because people welcome uncertainty. Because they recognize genuine honesty about a difficult situation as respect for their ability to handle the truth. The people who leave after the honest disclosure would have left eventually regardless. The people who stay after it are the real inner circle of the next chapter.</w:t>
      </w:r>
    </w:p>
    <w:p>
      <w:pPr>
        <w:pBdr>
          <w:left w:val="single" w:color="C4A95A" w:sz="8" w:space="8"/>
        </w:pBdr>
        <w:spacing w:before="100" w:after="100"/>
        <w:ind w:left="360"/>
      </w:pPr>
      <w:r>
        <w:rPr>
          <w:rFonts w:ascii="Garamond" w:cs="Garamond" w:eastAsia="Garamond" w:hAnsi="Garamond"/>
          <w:b w:val="false"/>
          <w:bCs w:val="false"/>
          <w:i/>
          <w:iCs/>
          <w:color w:val="C4A95A"/>
          <w:sz w:val="20"/>
          <w:szCs w:val="20"/>
        </w:rPr>
        <w:t xml:space="preserve">Mirror: What does my pivot decision require that I have been unwilling to provide? Who needs to know what, and by when?</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4" w:space="4"/>
        </w:pBdr>
        <w:spacing w:before="0" w:after="0"/>
        <w:ind w:left="240" w:right="240"/>
      </w:pPr>
      <w:r>
        <w:rPr>
          <w:rFonts w:ascii="Garamond" w:cs="Garamond" w:eastAsia="Garamond" w:hAnsi="Garamond"/>
          <w:b/>
          <w:bCs/>
          <w:i w:val="false"/>
          <w:iCs w:val="false"/>
          <w:color w:val="C4A95A"/>
          <w:sz w:val="20"/>
          <w:szCs w:val="20"/>
        </w:rPr>
        <w:t xml:space="preserve">THE BUILD — The Pivot Communication Plan</w:t>
      </w:r>
    </w:p>
    <w:p>
      <w:pPr>
        <w:pBdr>
          <w:bottom w:val="single" w:color="C4A95A" w:sz="4" w:space="4"/>
        </w:pBdr>
        <w:spacing w:before="80" w:after="0"/>
        <w:ind w:left="240" w:right="240"/>
        <w:jc w:val="both"/>
      </w:pPr>
      <w:r>
        <w:rPr>
          <w:rFonts w:ascii="Garamond" w:cs="Garamond" w:eastAsia="Garamond" w:hAnsi="Garamond"/>
          <w:b w:val="false"/>
          <w:bCs w:val="false"/>
          <w:i w:val="false"/>
          <w:iCs w:val="false"/>
          <w:color w:val="666666"/>
          <w:sz w:val="20"/>
          <w:szCs w:val="20"/>
        </w:rPr>
        <w:t xml:space="preserve">Design the communication sequence for the pivot decision. Three stages: (1) Who needs to know first, and what do they specifically need to hear? (2) Who comes next, and how does the communication to the first group inform what the second group receives? (3) What is the honest answer to "what happens next?" — not the complete plan, but the genuine, honest description of what you know and do not know at this moment? The communication plan is not a PR exercise. It is the extension of the same honest, genuine-version standard that every other significant moment in this framework requires.</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300" w:after="0"/>
        <w:jc w:val="left"/>
      </w:pPr>
      <w:r>
        <w:rPr>
          <w:rFonts w:ascii="Garamond" w:cs="Garamond" w:eastAsia="Garamond" w:hAnsi="Garamond"/>
          <w:b w:val="false"/>
          <w:bCs w:val="false"/>
          <w:i w:val="false"/>
          <w:iCs w:val="false"/>
          <w:color w:val="0A0A0A"/>
          <w:sz w:val="24"/>
          <w:szCs w:val="24"/>
        </w:rPr>
        <w:t xml:space="preserve"/>
      </w:r>
    </w:p>
    <w:p>
      <w:pPr>
        <w:spacing w:before="0" w:after="0"/>
        <w:jc w:val="center"/>
      </w:pPr>
      <w:r>
        <w:rPr>
          <w:rFonts w:ascii="Garamond" w:cs="Garamond" w:eastAsia="Garamond" w:hAnsi="Garamond"/>
          <w:b/>
          <w:bCs/>
          <w:i w:val="false"/>
          <w:iCs w:val="false"/>
          <w:color w:val="C4A95A"/>
          <w:sz w:val="32"/>
          <w:szCs w:val="32"/>
        </w:rPr>
        <w:t xml:space="preserve">PART THREE</w:t>
      </w:r>
    </w:p>
    <w:p>
      <w:pPr>
        <w:spacing w:before="80" w:after="80"/>
        <w:jc w:val="center"/>
      </w:pPr>
      <w:r>
        <w:rPr>
          <w:rFonts w:ascii="Garamond" w:cs="Garamond" w:eastAsia="Garamond" w:hAnsi="Garamond"/>
          <w:b/>
          <w:bCs/>
          <w:i w:val="false"/>
          <w:iCs w:val="false"/>
          <w:color w:val="0A0A0A"/>
          <w:sz w:val="36"/>
          <w:szCs w:val="36"/>
        </w:rPr>
        <w:t xml:space="preserve">Running the Pivot</w:t>
      </w:r>
    </w:p>
    <w:p>
      <w:pPr>
        <w:spacing w:before="0" w:after="0"/>
        <w:jc w:val="center"/>
      </w:pPr>
      <w:r>
        <w:rPr>
          <w:rFonts w:ascii="Garamond" w:cs="Garamond" w:eastAsia="Garamond" w:hAnsi="Garamond"/>
          <w:b w:val="false"/>
          <w:bCs w:val="false"/>
          <w:i/>
          <w:iCs/>
          <w:color w:val="666666"/>
          <w:sz w:val="22"/>
          <w:szCs w:val="22"/>
        </w:rPr>
        <w:t xml:space="preserve">The bridge. What to keep. What to release. The first build on the other side.</w:t>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40"/>
        <w:jc w:val="left"/>
      </w:pPr>
      <w:r>
        <w:rPr>
          <w:rFonts w:ascii="Garamond" w:cs="Garamond" w:eastAsia="Garamond" w:hAnsi="Garamond"/>
          <w:b/>
          <w:bCs/>
          <w:i w:val="false"/>
          <w:iCs w:val="false"/>
          <w:color w:val="C4A95A"/>
          <w:sz w:val="40"/>
          <w:szCs w:val="40"/>
        </w:rPr>
        <w:t xml:space="preserve">05</w:t>
      </w:r>
    </w:p>
    <w:p>
      <w:pPr>
        <w:pBdr>
          <w:bottom w:val="single" w:color="C4A95A" w:sz="6" w:space="6"/>
        </w:pBdr>
        <w:spacing w:before="0" w:after="80"/>
      </w:pPr>
      <w:r>
        <w:rPr>
          <w:rFonts w:ascii="Garamond" w:cs="Garamond" w:eastAsia="Garamond" w:hAnsi="Garamond"/>
          <w:b/>
          <w:bCs/>
          <w:i w:val="false"/>
          <w:iCs w:val="false"/>
          <w:color w:val="0A0A0A"/>
          <w:sz w:val="40"/>
          <w:szCs w:val="40"/>
        </w:rPr>
        <w:t xml:space="preserve">The Bridge</w:t>
      </w:r>
    </w:p>
    <w:p>
      <w:pPr>
        <w:spacing w:before="40" w:after="200"/>
        <w:jc w:val="left"/>
      </w:pPr>
      <w:r>
        <w:rPr>
          <w:rFonts w:ascii="Garamond" w:cs="Garamond" w:eastAsia="Garamond" w:hAnsi="Garamond"/>
          <w:b w:val="false"/>
          <w:bCs w:val="false"/>
          <w:i/>
          <w:iCs/>
          <w:color w:val="666666"/>
          <w:sz w:val="22"/>
          <w:szCs w:val="22"/>
        </w:rPr>
        <w:t xml:space="preserve">Building from here to there without losing the surplus in the gap.</w:t>
      </w:r>
    </w:p>
    <w:p>
      <w:pPr>
        <w:spacing w:before="120" w:after="120"/>
        <w:jc w:val="both"/>
      </w:pPr>
      <w:r>
        <w:rPr>
          <w:rFonts w:ascii="Garamond" w:cs="Garamond" w:eastAsia="Garamond" w:hAnsi="Garamond"/>
          <w:b w:val="false"/>
          <w:bCs w:val="false"/>
          <w:i w:val="false"/>
          <w:iCs w:val="false"/>
          <w:color w:val="0A0A0A"/>
          <w:sz w:val="24"/>
          <w:szCs w:val="24"/>
        </w:rPr>
        <w:t xml:space="preserve">The bridge is the transition period — the months or years during which the old direction is still running while the new direction is being built. It is the most psychologically difficult period of the pivot because the person on it is neither fully committed to the old direction nor yet established in the new one. The identity is in transition. The resources are split. The signal in the room has changed — the people who were in the room for the old direction can sense the change even when it has not been announced, and the people in the room for the new direction are not yet fully present because the old direction is still making demands.</w:t>
      </w:r>
    </w:p>
    <w:p>
      <w:pPr>
        <w:spacing w:before="120" w:after="120"/>
        <w:jc w:val="both"/>
      </w:pPr>
      <w:r>
        <w:rPr>
          <w:rFonts w:ascii="Garamond" w:cs="Garamond" w:eastAsia="Garamond" w:hAnsi="Garamond"/>
          <w:b w:val="false"/>
          <w:bCs w:val="false"/>
          <w:i w:val="false"/>
          <w:iCs w:val="false"/>
          <w:color w:val="0A0A0A"/>
          <w:sz w:val="24"/>
          <w:szCs w:val="24"/>
        </w:rPr>
        <w:t xml:space="preserve">The bridge has three rules. Without all three, the bridge fails — either because the crossing happens too slowly and the person runs out of surplus before reaching the other side, or too quickly and they arrive at the new direction before it is ready to receive the full commitment.</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100"/>
        <w:jc w:val="left"/>
      </w:pPr>
      <w:r>
        <w:rPr>
          <w:rFonts w:ascii="Garamond" w:cs="Garamond" w:eastAsia="Garamond" w:hAnsi="Garamond"/>
          <w:b/>
          <w:bCs/>
          <w:i w:val="false"/>
          <w:iCs w:val="false"/>
          <w:color w:val="0A0A0A"/>
          <w:sz w:val="28"/>
          <w:szCs w:val="28"/>
        </w:rPr>
        <w:t xml:space="preserve">Rule One: Stay on the Bridge</w:t>
      </w:r>
    </w:p>
    <w:p>
      <w:pPr>
        <w:spacing w:before="120" w:after="120"/>
        <w:jc w:val="both"/>
      </w:pPr>
      <w:r>
        <w:rPr>
          <w:rFonts w:ascii="Garamond" w:cs="Garamond" w:eastAsia="Garamond" w:hAnsi="Garamond"/>
          <w:b w:val="false"/>
          <w:bCs w:val="false"/>
          <w:i w:val="false"/>
          <w:iCs w:val="false"/>
          <w:color w:val="0A0A0A"/>
          <w:sz w:val="24"/>
          <w:szCs w:val="24"/>
        </w:rPr>
        <w:t xml:space="preserve">Do not rush to the other side before the bridge is built to the point where the crossing is secure. The urgency of the pivot — the relief of fully committing to the new direction, the desire to be done with the ambiguity of the transition — produces premature full commitment to the new direction before the new direction has developed the evidence, the relationships, and the viability that genuine commitment requires.</w:t>
      </w:r>
    </w:p>
    <w:p>
      <w:pPr>
        <w:spacing w:before="120" w:after="120"/>
        <w:jc w:val="both"/>
      </w:pPr>
      <w:r>
        <w:rPr>
          <w:rFonts w:ascii="Garamond" w:cs="Garamond" w:eastAsia="Garamond" w:hAnsi="Garamond"/>
          <w:b w:val="false"/>
          <w:bCs w:val="false"/>
          <w:i w:val="false"/>
          <w:iCs w:val="false"/>
          <w:color w:val="0A0A0A"/>
          <w:sz w:val="24"/>
          <w:szCs w:val="24"/>
        </w:rPr>
        <w:t xml:space="preserve">The premature commitment to the new direction produces a specific set of problems: the person has left the resources of the old direction behind before the new direction can replace them, the relationships that were being built in the new direction have not had time to develop to the depth required, and the version of themselves they are presenting in the new direction is still being discovered rather than being built on a stable foundation. The bridge must be built fully before it is crossed fully.</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100"/>
        <w:jc w:val="left"/>
      </w:pPr>
      <w:r>
        <w:rPr>
          <w:rFonts w:ascii="Garamond" w:cs="Garamond" w:eastAsia="Garamond" w:hAnsi="Garamond"/>
          <w:b/>
          <w:bCs/>
          <w:i w:val="false"/>
          <w:iCs w:val="false"/>
          <w:color w:val="0A0A0A"/>
          <w:sz w:val="28"/>
          <w:szCs w:val="28"/>
        </w:rPr>
        <w:t xml:space="preserve">Rule Two: Keep the Old Direction Running at Minimum Viable Level</w:t>
      </w:r>
    </w:p>
    <w:p>
      <w:pPr>
        <w:spacing w:before="120" w:after="120"/>
        <w:jc w:val="both"/>
      </w:pPr>
      <w:r>
        <w:rPr>
          <w:rFonts w:ascii="Garamond" w:cs="Garamond" w:eastAsia="Garamond" w:hAnsi="Garamond"/>
          <w:b w:val="false"/>
          <w:bCs w:val="false"/>
          <w:i w:val="false"/>
          <w:iCs w:val="false"/>
          <w:color w:val="0A0A0A"/>
          <w:sz w:val="24"/>
          <w:szCs w:val="24"/>
        </w:rPr>
        <w:t xml:space="preserve">The old direction must be maintained at the level required to sustain the Profit surplus during the transition. Not at the level it deserves if the full commitment were still there. Not at the level of excellence that the best clients deserve. At the minimum viable level that keeps the resources available for the bridge build.</w:t>
      </w:r>
    </w:p>
    <w:p>
      <w:pPr>
        <w:spacing w:before="120" w:after="120"/>
        <w:jc w:val="both"/>
      </w:pPr>
      <w:r>
        <w:rPr>
          <w:rFonts w:ascii="Garamond" w:cs="Garamond" w:eastAsia="Garamond" w:hAnsi="Garamond"/>
          <w:b w:val="false"/>
          <w:bCs w:val="false"/>
          <w:i w:val="false"/>
          <w:iCs w:val="false"/>
          <w:color w:val="0A0A0A"/>
          <w:sz w:val="24"/>
          <w:szCs w:val="24"/>
        </w:rPr>
        <w:t xml:space="preserve">This is genuinely difficult. The standards of the old direction — the quality commitments, the relationship investments, the excellence that built the reputation — do not disappear when the pivot begins. The clients and partners in the old direction deserve the level of engagement they were promised. The tension between maintaining that standard and having sufficient energy for the new build is the specific tension of the bridge. It requires ruthless prioritization and honest communication with the people in the old direction about what the current capacity actually is.</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100"/>
        <w:jc w:val="left"/>
      </w:pPr>
      <w:r>
        <w:rPr>
          <w:rFonts w:ascii="Garamond" w:cs="Garamond" w:eastAsia="Garamond" w:hAnsi="Garamond"/>
          <w:b/>
          <w:bCs/>
          <w:i w:val="false"/>
          <w:iCs w:val="false"/>
          <w:color w:val="0A0A0A"/>
          <w:sz w:val="28"/>
          <w:szCs w:val="28"/>
        </w:rPr>
        <w:t xml:space="preserve">Rule Three: Build the New Direction Every Day</w:t>
      </w:r>
    </w:p>
    <w:p>
      <w:pPr>
        <w:spacing w:before="120" w:after="120"/>
        <w:jc w:val="both"/>
      </w:pPr>
      <w:r>
        <w:rPr>
          <w:rFonts w:ascii="Garamond" w:cs="Garamond" w:eastAsia="Garamond" w:hAnsi="Garamond"/>
          <w:b w:val="false"/>
          <w:bCs w:val="false"/>
          <w:i w:val="false"/>
          <w:iCs w:val="false"/>
          <w:color w:val="0A0A0A"/>
          <w:sz w:val="24"/>
          <w:szCs w:val="24"/>
        </w:rPr>
        <w:t xml:space="preserve">The new direction must be built with genuine, consistent investment — not the overwhelming investment that would require full commitment before the bridge is complete, but the daily plank that extends the bridge by one concrete element. A conversation in the new domain. A piece of work that demonstrates the capability. A relationship that is being built with a genuine person in the new direction. The daily investment, maintained consistently across the bridge period, produces a new direction that is ready to receive the full commitment when the crossing is complete.</w:t>
      </w:r>
    </w:p>
    <w:p>
      <w:pPr>
        <w:spacing w:before="120" w:after="120"/>
        <w:jc w:val="both"/>
      </w:pPr>
      <w:r>
        <w:rPr>
          <w:rFonts w:ascii="Garamond" w:cs="Garamond" w:eastAsia="Garamond" w:hAnsi="Garamond"/>
          <w:b w:val="false"/>
          <w:bCs w:val="false"/>
          <w:i w:val="false"/>
          <w:iCs w:val="false"/>
          <w:color w:val="0A0A0A"/>
          <w:sz w:val="24"/>
          <w:szCs w:val="24"/>
        </w:rPr>
        <w:t xml:space="preserve">The most common bridge failure: the daily investment in the new direction does not happen consistently because the demands of the old direction are always more urgent than the demands of the new one. The old direction has existing obligations, existing relationships, and existing accountability structures. The new direction has none of these yet. In a competition for the day's energy and attention, the old direction wins unless the new direction has been given a protected and non-negotiable allocation.</w:t>
      </w:r>
    </w:p>
    <w:p>
      <w:pPr>
        <w:pBdr>
          <w:left w:val="single" w:color="C4A95A" w:sz="8" w:space="8"/>
        </w:pBdr>
        <w:spacing w:before="100" w:after="100"/>
        <w:ind w:left="360"/>
      </w:pPr>
      <w:r>
        <w:rPr>
          <w:rFonts w:ascii="Garamond" w:cs="Garamond" w:eastAsia="Garamond" w:hAnsi="Garamond"/>
          <w:b w:val="false"/>
          <w:bCs w:val="false"/>
          <w:i/>
          <w:iCs/>
          <w:color w:val="C4A95A"/>
          <w:sz w:val="20"/>
          <w:szCs w:val="20"/>
        </w:rPr>
        <w:t xml:space="preserve">Mirror: What specific allocation am I making to the new direction every day? Is it protected, or does the old direction consistently claim it?</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4" w:space="4"/>
        </w:pBdr>
        <w:spacing w:before="0" w:after="0"/>
        <w:ind w:left="240" w:right="240"/>
      </w:pPr>
      <w:r>
        <w:rPr>
          <w:rFonts w:ascii="Garamond" w:cs="Garamond" w:eastAsia="Garamond" w:hAnsi="Garamond"/>
          <w:b/>
          <w:bCs/>
          <w:i w:val="false"/>
          <w:iCs w:val="false"/>
          <w:color w:val="C4A95A"/>
          <w:sz w:val="20"/>
          <w:szCs w:val="20"/>
        </w:rPr>
        <w:t xml:space="preserve">THE BUILD — The Bridge Architecture</w:t>
      </w:r>
    </w:p>
    <w:p>
      <w:pPr>
        <w:pBdr>
          <w:bottom w:val="single" w:color="C4A95A" w:sz="4" w:space="4"/>
        </w:pBdr>
        <w:spacing w:before="80" w:after="0"/>
        <w:ind w:left="240" w:right="240"/>
        <w:jc w:val="both"/>
      </w:pPr>
      <w:r>
        <w:rPr>
          <w:rFonts w:ascii="Garamond" w:cs="Garamond" w:eastAsia="Garamond" w:hAnsi="Garamond"/>
          <w:b w:val="false"/>
          <w:bCs w:val="false"/>
          <w:i w:val="false"/>
          <w:iCs w:val="false"/>
          <w:color w:val="666666"/>
          <w:sz w:val="20"/>
          <w:szCs w:val="20"/>
        </w:rPr>
        <w:t xml:space="preserve">Design your bridge. Three components: (1) Minimum Viable Old Direction — what is the specific level at which the old direction must run to sustain the surplus during the crossing, and what does that level require of you each week? (2) Daily New Direction Build — what is the specific allocation to the new direction each day? What time, what activity, what accountability structure ensures it happens? (3) Bridge Completion Milestone — what is the specific, measurable indicator that the bridge has reached the other side and that full crossing is now safe? Write all three. The bridge without a design is a hope. The designed bridge is a navigation instrument.</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40"/>
        <w:jc w:val="left"/>
      </w:pPr>
      <w:r>
        <w:rPr>
          <w:rFonts w:ascii="Garamond" w:cs="Garamond" w:eastAsia="Garamond" w:hAnsi="Garamond"/>
          <w:b/>
          <w:bCs/>
          <w:i w:val="false"/>
          <w:iCs w:val="false"/>
          <w:color w:val="C4A95A"/>
          <w:sz w:val="40"/>
          <w:szCs w:val="40"/>
        </w:rPr>
        <w:t xml:space="preserve">06</w:t>
      </w:r>
    </w:p>
    <w:p>
      <w:pPr>
        <w:pBdr>
          <w:bottom w:val="single" w:color="C4A95A" w:sz="6" w:space="6"/>
        </w:pBdr>
        <w:spacing w:before="0" w:after="80"/>
      </w:pPr>
      <w:r>
        <w:rPr>
          <w:rFonts w:ascii="Garamond" w:cs="Garamond" w:eastAsia="Garamond" w:hAnsi="Garamond"/>
          <w:b/>
          <w:bCs/>
          <w:i w:val="false"/>
          <w:iCs w:val="false"/>
          <w:color w:val="0A0A0A"/>
          <w:sz w:val="40"/>
          <w:szCs w:val="40"/>
        </w:rPr>
        <w:t xml:space="preserve">What to Keep and What to Release</w:t>
      </w:r>
    </w:p>
    <w:p>
      <w:pPr>
        <w:spacing w:before="40" w:after="200"/>
        <w:jc w:val="left"/>
      </w:pPr>
      <w:r>
        <w:rPr>
          <w:rFonts w:ascii="Garamond" w:cs="Garamond" w:eastAsia="Garamond" w:hAnsi="Garamond"/>
          <w:b w:val="false"/>
          <w:bCs w:val="false"/>
          <w:i/>
          <w:iCs/>
          <w:color w:val="666666"/>
          <w:sz w:val="22"/>
          <w:szCs w:val="22"/>
        </w:rPr>
        <w:t xml:space="preserve">The most consequential decision in the pivot. What transfers and what must be left behind.</w:t>
      </w:r>
    </w:p>
    <w:p>
      <w:pPr>
        <w:spacing w:before="120" w:after="120"/>
        <w:jc w:val="both"/>
      </w:pPr>
      <w:r>
        <w:rPr>
          <w:rFonts w:ascii="Garamond" w:cs="Garamond" w:eastAsia="Garamond" w:hAnsi="Garamond"/>
          <w:b w:val="false"/>
          <w:bCs w:val="false"/>
          <w:i w:val="false"/>
          <w:iCs w:val="false"/>
          <w:color w:val="0A0A0A"/>
          <w:sz w:val="24"/>
          <w:szCs w:val="24"/>
        </w:rPr>
        <w:t xml:space="preserve">The pivot mistake that most people make is taking too much with them. The identity, the methods, the assumptions, the specific relational patterns that made the previous direction successful — all carried forward into the new direction as if the change of context has not changed what is required. Some of what made the previous direction excellent transfers directly. Most of it requires significant modification. A small but important portion must be deliberately released because it will actively impede the new build if it comes along.</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100"/>
        <w:jc w:val="left"/>
      </w:pPr>
      <w:r>
        <w:rPr>
          <w:rFonts w:ascii="Garamond" w:cs="Garamond" w:eastAsia="Garamond" w:hAnsi="Garamond"/>
          <w:b/>
          <w:bCs/>
          <w:i w:val="false"/>
          <w:iCs w:val="false"/>
          <w:color w:val="0A0A0A"/>
          <w:sz w:val="28"/>
          <w:szCs w:val="28"/>
        </w:rPr>
        <w:t xml:space="preserve">What Always Transfers</w:t>
      </w:r>
    </w:p>
    <w:p>
      <w:pPr>
        <w:spacing w:before="120" w:after="120"/>
        <w:jc w:val="both"/>
      </w:pPr>
      <w:r>
        <w:rPr>
          <w:rFonts w:ascii="Garamond" w:cs="Garamond" w:eastAsia="Garamond" w:hAnsi="Garamond"/>
          <w:b w:val="false"/>
          <w:bCs w:val="false"/>
          <w:i w:val="false"/>
          <w:iCs w:val="false"/>
          <w:color w:val="0A0A0A"/>
          <w:sz w:val="24"/>
          <w:szCs w:val="24"/>
        </w:rPr>
        <w:t xml:space="preserve">The doctrine transfers. The specific operating principles — the values tested under pressure and held, the ways of treating people that produced the Love surplus, the quality standards that built the reputational leverage — these are not domain-specific. They are character-level. They go with you into any domain and any direction. The person who has a genuine doctrine does not need to rebuild their ethical framework when they pivot. They bring it with them.</w:t>
      </w:r>
    </w:p>
    <w:p>
      <w:pPr>
        <w:spacing w:before="120" w:after="120"/>
        <w:jc w:val="both"/>
      </w:pPr>
      <w:r>
        <w:rPr>
          <w:rFonts w:ascii="Garamond" w:cs="Garamond" w:eastAsia="Garamond" w:hAnsi="Garamond"/>
          <w:b w:val="false"/>
          <w:bCs w:val="false"/>
          <w:i w:val="false"/>
          <w:iCs w:val="false"/>
          <w:color w:val="0A0A0A"/>
          <w:sz w:val="24"/>
          <w:szCs w:val="24"/>
        </w:rPr>
        <w:t xml:space="preserve">The Frequency transfers. The signal quality built through years of surplus accumulation and presence practice is not a product of the specific domain being left. It is a product of the surplus and the practice. It travels. The high-Frequency person entering a new domain generates the same quality of attention, genuine interest, and real presence in that domain that they generated in the previous one. The domain changes. The signal does not.</w:t>
      </w:r>
    </w:p>
    <w:p>
      <w:pPr>
        <w:spacing w:before="120" w:after="120"/>
        <w:jc w:val="both"/>
      </w:pPr>
      <w:r>
        <w:rPr>
          <w:rFonts w:ascii="Garamond" w:cs="Garamond" w:eastAsia="Garamond" w:hAnsi="Garamond"/>
          <w:b w:val="false"/>
          <w:bCs w:val="false"/>
          <w:i w:val="false"/>
          <w:iCs w:val="false"/>
          <w:color w:val="0A0A0A"/>
          <w:sz w:val="24"/>
          <w:szCs w:val="24"/>
        </w:rPr>
        <w:t xml:space="preserve">The deep relationships transfer. Not all relationships — those built entirely around the specific context of the previous direction may not survive the transition. But the genuine deep accounts — the relationships where the investment has been mutual, where the Love account is real, and where the other party's interest in you extends beyond the domain context — are not domain-specific. They travel, and they support the new direction in ways that no new relationship can replicate because the depth is not yet available in new relationships.</w:t>
      </w:r>
    </w:p>
    <w:p>
      <w:pPr>
        <w:spacing w:before="120" w:after="120"/>
        <w:jc w:val="both"/>
      </w:pPr>
      <w:r>
        <w:rPr>
          <w:rFonts w:ascii="Garamond" w:cs="Garamond" w:eastAsia="Garamond" w:hAnsi="Garamond"/>
          <w:b w:val="false"/>
          <w:bCs w:val="false"/>
          <w:i w:val="false"/>
          <w:iCs w:val="false"/>
          <w:color w:val="0A0A0A"/>
          <w:sz w:val="24"/>
          <w:szCs w:val="24"/>
        </w:rPr>
        <w:t xml:space="preserve">The pattern recognition transfers. The specific capability of reading situations accurately, of understanding what is actually happening beneath the surface of a room, of knowing what the right move is in a complex negotiation or a difficult relationship moment — this is developed through the framework and through years of application, and it applies in the new domain as powerfully as in the old one. Often more powerfully, because the new domain has not yet developed the same pattern recognition in its practitioners, and the advantage it provides is disproportionately larger.</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100"/>
        <w:jc w:val="left"/>
      </w:pPr>
      <w:r>
        <w:rPr>
          <w:rFonts w:ascii="Garamond" w:cs="Garamond" w:eastAsia="Garamond" w:hAnsi="Garamond"/>
          <w:b/>
          <w:bCs/>
          <w:i w:val="false"/>
          <w:iCs w:val="false"/>
          <w:color w:val="0A0A0A"/>
          <w:sz w:val="28"/>
          <w:szCs w:val="28"/>
        </w:rPr>
        <w:t xml:space="preserve">What Does Not Transfer Automatically</w:t>
      </w:r>
    </w:p>
    <w:p>
      <w:pPr>
        <w:spacing w:before="120" w:after="120"/>
        <w:jc w:val="both"/>
      </w:pPr>
      <w:r>
        <w:rPr>
          <w:rFonts w:ascii="Garamond" w:cs="Garamond" w:eastAsia="Garamond" w:hAnsi="Garamond"/>
          <w:b w:val="false"/>
          <w:bCs w:val="false"/>
          <w:i w:val="false"/>
          <w:iCs w:val="false"/>
          <w:color w:val="0A0A0A"/>
          <w:sz w:val="24"/>
          <w:szCs w:val="24"/>
        </w:rPr>
        <w:t xml:space="preserve">The methods do not automatically transfer. The specific ways the work was done in the previous direction — the processes, the tools, the sequence of activities that produced excellent results — were calibrated to the specific context of that direction. The new context requires new calibration. The methods may be similar. They are rarely identical. The mistake is assuming they are identical and discovering the gap through client disappointment or market rejection rather than through deliberate calibration before the work begins.</w:t>
      </w:r>
    </w:p>
    <w:p>
      <w:pPr>
        <w:spacing w:before="120" w:after="120"/>
        <w:jc w:val="both"/>
      </w:pPr>
      <w:r>
        <w:rPr>
          <w:rFonts w:ascii="Garamond" w:cs="Garamond" w:eastAsia="Garamond" w:hAnsi="Garamond"/>
          <w:b w:val="false"/>
          <w:bCs w:val="false"/>
          <w:i w:val="false"/>
          <w:iCs w:val="false"/>
          <w:color w:val="0A0A0A"/>
          <w:sz w:val="24"/>
          <w:szCs w:val="24"/>
        </w:rPr>
        <w:t xml:space="preserve">The reputation does not fully transfer. The reputation built in the previous direction is a Profit surplus that converts partially but not completely into the new domain. What converts: the reputation for quality, for fair dealing, for genuine investment in the work, and for being someone whose word is good. These qualities are domain-agnostic and the market values them regardless of where they were demonstrated. What does not convert: the specific domain expertise, the category ownership, the position in the specific market of the previous direction. These must be rebuilt in the new direction from the beginning. Not from zero — from the foundation of the transferable elements. But rebuilt, not assumed.</w:t>
      </w:r>
    </w:p>
    <w:p>
      <w:pPr>
        <w:spacing w:before="120" w:after="120"/>
        <w:jc w:val="both"/>
      </w:pPr>
      <w:r>
        <w:rPr>
          <w:rFonts w:ascii="Garamond" w:cs="Garamond" w:eastAsia="Garamond" w:hAnsi="Garamond"/>
          <w:b w:val="false"/>
          <w:bCs w:val="false"/>
          <w:i w:val="false"/>
          <w:iCs w:val="false"/>
          <w:color w:val="0A0A0A"/>
          <w:sz w:val="24"/>
          <w:szCs w:val="24"/>
        </w:rPr>
        <w:t xml:space="preserve">The assumptions absolutely do not transfer. Every direction produces a set of assumptions about how things work, who the relevant people are, what the right moves are, and what the market values. These assumptions are precisely calibrated to the previous context and are actively misleading in the new one. The pivot requires a period of deliberate assumption-clearing: approaching the new direction with genuine curiosity about how it works, who matters in it, and what the correct moves are, rather than applying the conclusions from the previous direction as if the context has not changed.</w:t>
      </w:r>
    </w:p>
    <w:p>
      <w:pPr>
        <w:pBdr>
          <w:left w:val="single" w:color="C4A95A" w:sz="8" w:space="8"/>
        </w:pBdr>
        <w:spacing w:before="100" w:after="100"/>
        <w:ind w:left="360"/>
      </w:pPr>
      <w:r>
        <w:rPr>
          <w:rFonts w:ascii="Garamond" w:cs="Garamond" w:eastAsia="Garamond" w:hAnsi="Garamond"/>
          <w:b w:val="false"/>
          <w:bCs w:val="false"/>
          <w:i/>
          <w:iCs/>
          <w:color w:val="C4A95A"/>
          <w:sz w:val="20"/>
          <w:szCs w:val="20"/>
        </w:rPr>
        <w:t xml:space="preserve">Mirror: What am I planning to carry into the new direction that actually belongs to the old one? What specific assumption am I most likely to import incorrectly?</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4" w:space="4"/>
        </w:pBdr>
        <w:spacing w:before="0" w:after="0"/>
        <w:ind w:left="240" w:right="240"/>
      </w:pPr>
      <w:r>
        <w:rPr>
          <w:rFonts w:ascii="Garamond" w:cs="Garamond" w:eastAsia="Garamond" w:hAnsi="Garamond"/>
          <w:b/>
          <w:bCs/>
          <w:i w:val="false"/>
          <w:iCs w:val="false"/>
          <w:color w:val="C4A95A"/>
          <w:sz w:val="20"/>
          <w:szCs w:val="20"/>
        </w:rPr>
        <w:t xml:space="preserve">THE BUILD — The Transfer List</w:t>
      </w:r>
    </w:p>
    <w:p>
      <w:pPr>
        <w:pBdr>
          <w:bottom w:val="single" w:color="C4A95A" w:sz="4" w:space="4"/>
        </w:pBdr>
        <w:spacing w:before="80" w:after="0"/>
        <w:ind w:left="240" w:right="240"/>
        <w:jc w:val="both"/>
      </w:pPr>
      <w:r>
        <w:rPr>
          <w:rFonts w:ascii="Garamond" w:cs="Garamond" w:eastAsia="Garamond" w:hAnsi="Garamond"/>
          <w:b w:val="false"/>
          <w:bCs w:val="false"/>
          <w:i w:val="false"/>
          <w:iCs w:val="false"/>
          <w:color w:val="666666"/>
          <w:sz w:val="20"/>
          <w:szCs w:val="20"/>
        </w:rPr>
        <w:t xml:space="preserve">Make two explicit lists. Transfer List — the specific elements from the current direction that will carry into the new one: the specific doctrine principles, the specific deep relationships, the specific capabilities. Release List — the specific elements that must be consciously left behind: the specific methods that are context-specific, the specific assumptions about how things work, the specific identity elements that were built for the old direction and do not belong in the new one. The act of making the lists explicit — naming what you are keeping and what you are releasing — is the first act of the new build. It sets the foundation correctly.</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40"/>
        <w:jc w:val="left"/>
      </w:pPr>
      <w:r>
        <w:rPr>
          <w:rFonts w:ascii="Garamond" w:cs="Garamond" w:eastAsia="Garamond" w:hAnsi="Garamond"/>
          <w:b/>
          <w:bCs/>
          <w:i w:val="false"/>
          <w:iCs w:val="false"/>
          <w:color w:val="C4A95A"/>
          <w:sz w:val="40"/>
          <w:szCs w:val="40"/>
        </w:rPr>
        <w:t xml:space="preserve">07</w:t>
      </w:r>
    </w:p>
    <w:p>
      <w:pPr>
        <w:pBdr>
          <w:bottom w:val="single" w:color="C4A95A" w:sz="6" w:space="6"/>
        </w:pBdr>
        <w:spacing w:before="0" w:after="80"/>
      </w:pPr>
      <w:r>
        <w:rPr>
          <w:rFonts w:ascii="Garamond" w:cs="Garamond" w:eastAsia="Garamond" w:hAnsi="Garamond"/>
          <w:b/>
          <w:bCs/>
          <w:i w:val="false"/>
          <w:iCs w:val="false"/>
          <w:color w:val="0A0A0A"/>
          <w:sz w:val="40"/>
          <w:szCs w:val="40"/>
        </w:rPr>
        <w:t xml:space="preserve">The First Build on the Other Side</w:t>
      </w:r>
    </w:p>
    <w:p>
      <w:pPr>
        <w:spacing w:before="40" w:after="200"/>
        <w:jc w:val="left"/>
      </w:pPr>
      <w:r>
        <w:rPr>
          <w:rFonts w:ascii="Garamond" w:cs="Garamond" w:eastAsia="Garamond" w:hAnsi="Garamond"/>
          <w:b w:val="false"/>
          <w:bCs w:val="false"/>
          <w:i/>
          <w:iCs/>
          <w:color w:val="666666"/>
          <w:sz w:val="22"/>
          <w:szCs w:val="22"/>
        </w:rPr>
        <w:t xml:space="preserve">How the second direction begins. The pace. The first moves. What the new direction requires that the old one did not.</w:t>
      </w:r>
    </w:p>
    <w:p>
      <w:pPr>
        <w:spacing w:before="120" w:after="120"/>
        <w:jc w:val="both"/>
      </w:pPr>
      <w:r>
        <w:rPr>
          <w:rFonts w:ascii="Garamond" w:cs="Garamond" w:eastAsia="Garamond" w:hAnsi="Garamond"/>
          <w:b w:val="false"/>
          <w:bCs w:val="false"/>
          <w:i w:val="false"/>
          <w:iCs w:val="false"/>
          <w:color w:val="0A0A0A"/>
          <w:sz w:val="24"/>
          <w:szCs w:val="24"/>
        </w:rPr>
        <w:t xml:space="preserve">The first build on the other side of the pivot begins with a specific quality of humility that most experienced builders find genuinely difficult. The builder who has achieved genuine excellence in the previous direction enters the new one with competence in the transferable elements and genuine beginner status in the domain-specific ones. Managing this combination — the confidence that the transferable elements warrant alongside the humility that the new domain requires — is the specific developmental challenge of the pivot transition.</w:t>
      </w:r>
    </w:p>
    <w:p>
      <w:pPr>
        <w:spacing w:before="120" w:after="120"/>
        <w:jc w:val="both"/>
      </w:pPr>
      <w:r>
        <w:rPr>
          <w:rFonts w:ascii="Garamond" w:cs="Garamond" w:eastAsia="Garamond" w:hAnsi="Garamond"/>
          <w:b w:val="false"/>
          <w:bCs w:val="false"/>
          <w:i w:val="false"/>
          <w:iCs w:val="false"/>
          <w:color w:val="0A0A0A"/>
          <w:sz w:val="24"/>
          <w:szCs w:val="24"/>
        </w:rPr>
        <w:t xml:space="preserve">The over-confident pivot: the builder enters the new domain with the assumption that the excellence of the previous direction transfers completely. They move at the pace the previous direction supported, take on commitments at the level the previous direction could execute, and fail to develop the domain-specific understanding the new direction requires because they believe the previous excellence is sufficient. The result is the specific disappointment of discovering that the new domain has its own requirements and that not meeting them produces visible failure despite genuine excellence in other dimensions.</w:t>
      </w:r>
    </w:p>
    <w:p>
      <w:pPr>
        <w:spacing w:before="120" w:after="120"/>
        <w:jc w:val="both"/>
      </w:pPr>
      <w:r>
        <w:rPr>
          <w:rFonts w:ascii="Garamond" w:cs="Garamond" w:eastAsia="Garamond" w:hAnsi="Garamond"/>
          <w:b w:val="false"/>
          <w:bCs w:val="false"/>
          <w:i w:val="false"/>
          <w:iCs w:val="false"/>
          <w:color w:val="0A0A0A"/>
          <w:sz w:val="24"/>
          <w:szCs w:val="24"/>
        </w:rPr>
        <w:t xml:space="preserve">The over-humble pivot: the builder enters the new domain with so much deference to its different requirements that the genuine excellence they bring goes unexpressed. They undercharge, underpromise, and undercommit because they are calibrating to the beginner status rather than to the combination of genuine transferable excellence and genuine domain-specific learning. The result is a new direction that builds too slowly because it is not deploying the full surplus that is actually available.</w:t>
      </w:r>
    </w:p>
    <w:p>
      <w:pPr>
        <w:spacing w:before="120" w:after="120"/>
        <w:jc w:val="both"/>
      </w:pPr>
      <w:r>
        <w:rPr>
          <w:rFonts w:ascii="Garamond" w:cs="Garamond" w:eastAsia="Garamond" w:hAnsi="Garamond"/>
          <w:b w:val="false"/>
          <w:bCs w:val="false"/>
          <w:i w:val="false"/>
          <w:iCs w:val="false"/>
          <w:color w:val="0A0A0A"/>
          <w:sz w:val="24"/>
          <w:szCs w:val="24"/>
        </w:rPr>
        <w:t xml:space="preserve">The correct calibration: express fully the competence that transfers while learning genuinely the competence that does not. Price at the level the transferable excellence warrants. Acknowledge openly the domain-specific learning that is still in progress. Both simultaneously. The new client in the new direction who receives genuine excellence in the transferable dimensions alongside genuine transparency about the domain-specific learning is receiving exactly the combination that a high-PLT new relationship produces. The combination is a Love account deposit. The pretense that nothing is new, or the pretense that everything is new, are both Love account withdrawals.</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100"/>
        <w:jc w:val="left"/>
      </w:pPr>
      <w:r>
        <w:rPr>
          <w:rFonts w:ascii="Garamond" w:cs="Garamond" w:eastAsia="Garamond" w:hAnsi="Garamond"/>
          <w:b/>
          <w:bCs/>
          <w:i w:val="false"/>
          <w:iCs w:val="false"/>
          <w:color w:val="0A0A0A"/>
          <w:sz w:val="28"/>
          <w:szCs w:val="28"/>
        </w:rPr>
        <w:t xml:space="preserve">The First Ninety Days</w:t>
      </w:r>
    </w:p>
    <w:p>
      <w:pPr>
        <w:spacing w:before="120" w:after="120"/>
        <w:jc w:val="both"/>
      </w:pPr>
      <w:r>
        <w:rPr>
          <w:rFonts w:ascii="Garamond" w:cs="Garamond" w:eastAsia="Garamond" w:hAnsi="Garamond"/>
          <w:b w:val="false"/>
          <w:bCs w:val="false"/>
          <w:i w:val="false"/>
          <w:iCs w:val="false"/>
          <w:color w:val="0A0A0A"/>
          <w:sz w:val="24"/>
          <w:szCs w:val="24"/>
        </w:rPr>
        <w:t xml:space="preserve">The first ninety days of the new direction are the most important. Not because the most significant work happens in them — it does not. Because the patterns established in the first ninety days become the foundation of everything that follows. The relationships begun in the first ninety days set the quality of the relational network in the new direction. The standards set in the first ninety days determine what clients, partners, and collaborators expect from this builder in this domain. The pace set in the first ninety days establishes whether this is a serious build or an exploration.</w:t>
      </w:r>
    </w:p>
    <w:p>
      <w:pPr>
        <w:spacing w:before="120" w:after="120"/>
        <w:jc w:val="both"/>
      </w:pPr>
      <w:r>
        <w:rPr>
          <w:rFonts w:ascii="Garamond" w:cs="Garamond" w:eastAsia="Garamond" w:hAnsi="Garamond"/>
          <w:b w:val="false"/>
          <w:bCs w:val="false"/>
          <w:i w:val="false"/>
          <w:iCs w:val="false"/>
          <w:color w:val="0A0A0A"/>
          <w:sz w:val="24"/>
          <w:szCs w:val="24"/>
        </w:rPr>
        <w:t xml:space="preserve">The first ninety days have one primary instruction: do excellent work for fewer clients than the current capacity could technically serve. Not the maximum capacity. The level at which the work is excellent and the new domain learning is happening simultaneously. The reputation in the new direction is built on the first work done there. Do not rush the volume. Build the quality first.</w:t>
      </w:r>
    </w:p>
    <w:p>
      <w:pPr>
        <w:pBdr>
          <w:left w:val="single" w:color="C4A95A" w:sz="8" w:space="8"/>
        </w:pBdr>
        <w:spacing w:before="100" w:after="100"/>
        <w:ind w:left="360"/>
      </w:pPr>
      <w:r>
        <w:rPr>
          <w:rFonts w:ascii="Garamond" w:cs="Garamond" w:eastAsia="Garamond" w:hAnsi="Garamond"/>
          <w:b w:val="false"/>
          <w:bCs w:val="false"/>
          <w:i/>
          <w:iCs/>
          <w:color w:val="C4A95A"/>
          <w:sz w:val="20"/>
          <w:szCs w:val="20"/>
        </w:rPr>
        <w:t xml:space="preserve">Mirror: What is the specific quality of work I will do in the first ninety days of the new direction that will set the reputation I want to have in that domain three years from now?</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4" w:space="4"/>
        </w:pBdr>
        <w:spacing w:before="0" w:after="0"/>
        <w:ind w:left="240" w:right="240"/>
      </w:pPr>
      <w:r>
        <w:rPr>
          <w:rFonts w:ascii="Garamond" w:cs="Garamond" w:eastAsia="Garamond" w:hAnsi="Garamond"/>
          <w:b/>
          <w:bCs/>
          <w:i w:val="false"/>
          <w:iCs w:val="false"/>
          <w:color w:val="C4A95A"/>
          <w:sz w:val="20"/>
          <w:szCs w:val="20"/>
        </w:rPr>
        <w:t xml:space="preserve">THE BUILD — The Ninety-Day Build</w:t>
      </w:r>
    </w:p>
    <w:p>
      <w:pPr>
        <w:pBdr>
          <w:bottom w:val="single" w:color="C4A95A" w:sz="4" w:space="4"/>
        </w:pBdr>
        <w:spacing w:before="80" w:after="0"/>
        <w:ind w:left="240" w:right="240"/>
        <w:jc w:val="both"/>
      </w:pPr>
      <w:r>
        <w:rPr>
          <w:rFonts w:ascii="Garamond" w:cs="Garamond" w:eastAsia="Garamond" w:hAnsi="Garamond"/>
          <w:b w:val="false"/>
          <w:bCs w:val="false"/>
          <w:i w:val="false"/>
          <w:iCs w:val="false"/>
          <w:color w:val="666666"/>
          <w:sz w:val="20"/>
          <w:szCs w:val="20"/>
        </w:rPr>
        <w:t xml:space="preserve">Design the first ninety days of the new direction. Three components: (1) Clients/partners — how many, and what is the selection criterion that ensures the first relationships in the new domain are the right ones? (2) Work quality — what is the specific standard, and what accountability structure ensures it is met? (3) Learning — what domain-specific knowledge or skill must be developed in these ninety days, and what is the specific plan for developing it? Write it. Execute it. The first ninety days are not a trial period. They are the beginning of the reputation the new direction will be built on.</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0A0A0A"/>
          <w:sz w:val="28"/>
          <w:szCs w:val="28"/>
        </w:rPr>
        <w:t xml:space="preserve">Craig Jones</w:t>
      </w:r>
    </w:p>
    <w:p>
      <w:pPr>
        <w:pBdr>
          <w:bottom w:val="single" w:color="C4A95A" w:sz="6" w:space="6"/>
        </w:pBdr>
        <w:spacing w:before="120" w:after="120"/>
      </w:pPr>
      <w:r>
        <w:rPr>
          <w:rFonts w:ascii="Garamond" w:cs="Garamond" w:eastAsia="Garamond" w:hAnsi="Garamond"/>
          <w:b w:val="false"/>
          <w:bCs w:val="false"/>
          <w:i w:val="false"/>
          <w:iCs w:val="false"/>
          <w:color w:val="0A0A0A"/>
          <w:sz w:val="24"/>
          <w:szCs w:val="24"/>
        </w:rPr>
        <w:t xml:space="preserve"/>
      </w:r>
    </w:p>
    <w:p>
      <w:pPr>
        <w:spacing w:before="120" w:after="0"/>
        <w:jc w:val="both"/>
      </w:pPr>
      <w:r>
        <w:rPr>
          <w:rFonts w:ascii="Garamond" w:cs="Garamond" w:eastAsia="Garamond" w:hAnsi="Garamond"/>
          <w:b w:val="false"/>
          <w:bCs w:val="false"/>
          <w:i w:val="false"/>
          <w:iCs w:val="false"/>
          <w:color w:val="666666"/>
          <w:sz w:val="20"/>
          <w:szCs w:val="20"/>
        </w:rPr>
        <w:t xml:space="preserve">Craig Jones is the founder of the PLT Framework and the architect of the PLT Doctrine Series. He writes under the name Little Bunny. The Pivot applies the framework to the most demanding transition a builder faces — the moment when everything built must become something else, when the surplus is the difference between a beginning and a crisis, and when everything the previous chapters of this series prepared the reader for is tested in the most concentrated form. Built from direct observation of how serious builders navigate fundamental directional change — what survives, what does not, and what the correctly executed pivot produces on the other side.</w:t>
      </w:r>
    </w:p>
    <w:p>
      <w:pPr>
        <w:spacing w:before="0" w:after="0"/>
        <w:jc w:val="left"/>
      </w:pPr>
      <w:r>
        <w:br/>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0A0A0A"/>
          <w:sz w:val="26"/>
          <w:szCs w:val="26"/>
        </w:rPr>
        <w:t xml:space="preserve">Also by Craig Jones / Little Bunny</w:t>
      </w:r>
    </w:p>
    <w:p>
      <w:pPr>
        <w:pBdr>
          <w:bottom w:val="single" w:color="C4A95A" w:sz="6" w:space="6"/>
        </w:pBdr>
        <w:spacing w:before="120" w:after="120"/>
      </w:pPr>
      <w:r>
        <w:rPr>
          <w:rFonts w:ascii="Garamond" w:cs="Garamond" w:eastAsia="Garamond" w:hAnsi="Garamond"/>
          <w:b w:val="false"/>
          <w:bCs w:val="false"/>
          <w:i w:val="false"/>
          <w:iCs w:val="false"/>
          <w:color w:val="0A0A0A"/>
          <w:sz w:val="24"/>
          <w:szCs w:val="24"/>
        </w:rPr>
        <w:t xml:space="preserve"/>
      </w:r>
    </w:p>
    <w:p>
      <w:pPr>
        <w:spacing w:before="12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val="false"/>
          <w:bCs w:val="false"/>
          <w:i/>
          <w:iCs/>
          <w:color w:val="C4A95A"/>
          <w:sz w:val="22"/>
          <w:szCs w:val="22"/>
        </w:rPr>
        <w:t xml:space="preserve">The Reality Building Series</w:t>
      </w:r>
    </w:p>
    <w:p>
      <w:pPr>
        <w:spacing w:before="80" w:after="0"/>
        <w:jc w:val="left"/>
      </w:pPr>
      <w:r>
        <w:rPr>
          <w:rFonts w:ascii="Garamond" w:cs="Garamond" w:eastAsia="Garamond" w:hAnsi="Garamond"/>
          <w:b w:val="false"/>
          <w:bCs w:val="false"/>
          <w:i w:val="false"/>
          <w:iCs w:val="false"/>
          <w:color w:val="0A0A0A"/>
          <w:sz w:val="24"/>
          <w:szCs w:val="24"/>
        </w:rPr>
        <w:t xml:space="preserve"/>
      </w:r>
    </w:p>
    <w:p>
      <w:pPr>
        <w:spacing w:before="40" w:after="40"/>
        <w:jc w:val="left"/>
      </w:pPr>
      <w:r>
        <w:rPr>
          <w:rFonts w:ascii="Garamond" w:cs="Garamond" w:eastAsia="Garamond" w:hAnsi="Garamond"/>
          <w:b w:val="false"/>
          <w:bCs w:val="false"/>
          <w:i w:val="false"/>
          <w:iCs w:val="false"/>
          <w:color w:val="666666"/>
          <w:sz w:val="20"/>
          <w:szCs w:val="20"/>
        </w:rPr>
        <w:t xml:space="preserve">Reality Building: The Complete Doctrine</w:t>
      </w:r>
    </w:p>
    <w:p>
      <w:pPr>
        <w:spacing w:before="40" w:after="40"/>
        <w:jc w:val="left"/>
      </w:pPr>
      <w:r>
        <w:rPr>
          <w:rFonts w:ascii="Garamond" w:cs="Garamond" w:eastAsia="Garamond" w:hAnsi="Garamond"/>
          <w:b w:val="false"/>
          <w:bCs w:val="false"/>
          <w:i w:val="false"/>
          <w:iCs w:val="false"/>
          <w:color w:val="666666"/>
          <w:sz w:val="20"/>
          <w:szCs w:val="20"/>
        </w:rPr>
        <w:t xml:space="preserve">The Surplus</w:t>
      </w:r>
    </w:p>
    <w:p>
      <w:pPr>
        <w:spacing w:before="40" w:after="40"/>
        <w:jc w:val="left"/>
      </w:pPr>
      <w:r>
        <w:rPr>
          <w:rFonts w:ascii="Garamond" w:cs="Garamond" w:eastAsia="Garamond" w:hAnsi="Garamond"/>
          <w:b w:val="false"/>
          <w:bCs w:val="false"/>
          <w:i w:val="false"/>
          <w:iCs w:val="false"/>
          <w:color w:val="666666"/>
          <w:sz w:val="20"/>
          <w:szCs w:val="20"/>
        </w:rPr>
        <w:t xml:space="preserve">The Frequency</w:t>
      </w:r>
    </w:p>
    <w:p>
      <w:pPr>
        <w:spacing w:before="40" w:after="40"/>
        <w:jc w:val="left"/>
      </w:pPr>
      <w:r>
        <w:rPr>
          <w:rFonts w:ascii="Garamond" w:cs="Garamond" w:eastAsia="Garamond" w:hAnsi="Garamond"/>
          <w:b w:val="false"/>
          <w:bCs w:val="false"/>
          <w:i w:val="false"/>
          <w:iCs w:val="false"/>
          <w:color w:val="666666"/>
          <w:sz w:val="20"/>
          <w:szCs w:val="20"/>
        </w:rPr>
        <w:t xml:space="preserve">Reality Building: Business</w:t>
      </w:r>
    </w:p>
    <w:p>
      <w:pPr>
        <w:spacing w:before="40" w:after="40"/>
        <w:jc w:val="left"/>
      </w:pPr>
      <w:r>
        <w:rPr>
          <w:rFonts w:ascii="Garamond" w:cs="Garamond" w:eastAsia="Garamond" w:hAnsi="Garamond"/>
          <w:b w:val="false"/>
          <w:bCs w:val="false"/>
          <w:i w:val="false"/>
          <w:iCs w:val="false"/>
          <w:color w:val="666666"/>
          <w:sz w:val="20"/>
          <w:szCs w:val="20"/>
        </w:rPr>
        <w:t xml:space="preserve">Reality Building: Relationships</w:t>
      </w:r>
    </w:p>
    <w:p>
      <w:pPr>
        <w:spacing w:before="40" w:after="40"/>
        <w:jc w:val="left"/>
      </w:pPr>
      <w:r>
        <w:rPr>
          <w:rFonts w:ascii="Garamond" w:cs="Garamond" w:eastAsia="Garamond" w:hAnsi="Garamond"/>
          <w:b w:val="false"/>
          <w:bCs w:val="false"/>
          <w:i w:val="false"/>
          <w:iCs w:val="false"/>
          <w:color w:val="666666"/>
          <w:sz w:val="20"/>
          <w:szCs w:val="20"/>
        </w:rPr>
        <w:t xml:space="preserve">Reality Building: Identity</w:t>
      </w:r>
    </w:p>
    <w:p>
      <w:pPr>
        <w:spacing w:before="40" w:after="40"/>
        <w:jc w:val="left"/>
      </w:pPr>
      <w:r>
        <w:rPr>
          <w:rFonts w:ascii="Garamond" w:cs="Garamond" w:eastAsia="Garamond" w:hAnsi="Garamond"/>
          <w:b w:val="false"/>
          <w:bCs w:val="false"/>
          <w:i w:val="false"/>
          <w:iCs w:val="false"/>
          <w:color w:val="666666"/>
          <w:sz w:val="20"/>
          <w:szCs w:val="20"/>
        </w:rPr>
        <w:t xml:space="preserve">Reality Building: Finance</w:t>
      </w:r>
    </w:p>
    <w:p>
      <w:pPr>
        <w:spacing w:before="40" w:after="40"/>
        <w:jc w:val="left"/>
      </w:pPr>
      <w:r>
        <w:rPr>
          <w:rFonts w:ascii="Garamond" w:cs="Garamond" w:eastAsia="Garamond" w:hAnsi="Garamond"/>
          <w:b w:val="false"/>
          <w:bCs w:val="false"/>
          <w:i w:val="false"/>
          <w:iCs w:val="false"/>
          <w:color w:val="666666"/>
          <w:sz w:val="20"/>
          <w:szCs w:val="20"/>
        </w:rPr>
        <w:t xml:space="preserve">Reality Building: Health</w:t>
      </w:r>
    </w:p>
    <w:p>
      <w:pPr>
        <w:spacing w:before="40" w:after="40"/>
        <w:jc w:val="left"/>
      </w:pPr>
      <w:r>
        <w:rPr>
          <w:rFonts w:ascii="Garamond" w:cs="Garamond" w:eastAsia="Garamond" w:hAnsi="Garamond"/>
          <w:b w:val="false"/>
          <w:bCs w:val="false"/>
          <w:i w:val="false"/>
          <w:iCs w:val="false"/>
          <w:color w:val="666666"/>
          <w:sz w:val="20"/>
          <w:szCs w:val="20"/>
        </w:rPr>
        <w:t xml:space="preserve">Reality Building: Community</w:t>
      </w:r>
    </w:p>
    <w:p>
      <w:pPr>
        <w:spacing w:before="40" w:after="40"/>
        <w:jc w:val="left"/>
      </w:pPr>
      <w:r>
        <w:rPr>
          <w:rFonts w:ascii="Garamond" w:cs="Garamond" w:eastAsia="Garamond" w:hAnsi="Garamond"/>
          <w:b w:val="false"/>
          <w:bCs w:val="false"/>
          <w:i w:val="false"/>
          <w:iCs w:val="false"/>
          <w:color w:val="666666"/>
          <w:sz w:val="20"/>
          <w:szCs w:val="20"/>
        </w:rPr>
        <w:t xml:space="preserve">Reality Building: Legacy</w:t>
      </w:r>
    </w:p>
    <w:p>
      <w:pPr>
        <w:spacing w:before="40" w:after="40"/>
        <w:jc w:val="left"/>
      </w:pPr>
      <w:r>
        <w:rPr>
          <w:rFonts w:ascii="Garamond" w:cs="Garamond" w:eastAsia="Garamond" w:hAnsi="Garamond"/>
          <w:b w:val="false"/>
          <w:bCs w:val="false"/>
          <w:i w:val="false"/>
          <w:iCs w:val="false"/>
          <w:color w:val="666666"/>
          <w:sz w:val="20"/>
          <w:szCs w:val="20"/>
        </w:rPr>
        <w:t xml:space="preserve">The Reality Ledger</w:t>
      </w:r>
    </w:p>
    <w:p>
      <w:pPr>
        <w:spacing w:before="40" w:after="40"/>
        <w:jc w:val="left"/>
      </w:pPr>
      <w:r>
        <w:rPr>
          <w:rFonts w:ascii="Garamond" w:cs="Garamond" w:eastAsia="Garamond" w:hAnsi="Garamond"/>
          <w:b w:val="false"/>
          <w:bCs w:val="false"/>
          <w:i w:val="false"/>
          <w:iCs w:val="false"/>
          <w:color w:val="666666"/>
          <w:sz w:val="20"/>
          <w:szCs w:val="20"/>
        </w:rPr>
        <w:t xml:space="preserve">The Architecture</w:t>
      </w:r>
    </w:p>
    <w:p>
      <w:pPr>
        <w:spacing w:before="40" w:after="40"/>
        <w:jc w:val="left"/>
      </w:pPr>
      <w:r>
        <w:rPr>
          <w:rFonts w:ascii="Garamond" w:cs="Garamond" w:eastAsia="Garamond" w:hAnsi="Garamond"/>
          <w:b w:val="false"/>
          <w:bCs w:val="false"/>
          <w:i w:val="false"/>
          <w:iCs w:val="false"/>
          <w:color w:val="666666"/>
          <w:sz w:val="20"/>
          <w:szCs w:val="20"/>
        </w:rPr>
        <w:t xml:space="preserve">The Negotiation</w:t>
      </w:r>
    </w:p>
    <w:p>
      <w:pPr>
        <w:spacing w:before="40" w:after="40"/>
        <w:jc w:val="left"/>
      </w:pPr>
      <w:r>
        <w:rPr>
          <w:rFonts w:ascii="Garamond" w:cs="Garamond" w:eastAsia="Garamond" w:hAnsi="Garamond"/>
          <w:b w:val="false"/>
          <w:bCs w:val="false"/>
          <w:i w:val="false"/>
          <w:iCs w:val="false"/>
          <w:color w:val="666666"/>
          <w:sz w:val="20"/>
          <w:szCs w:val="20"/>
        </w:rPr>
        <w:t xml:space="preserve">The Pivot</w:t>
      </w:r>
    </w:p>
    <w:p>
      <w:pPr>
        <w:spacing w:before="40" w:after="40"/>
        <w:jc w:val="left"/>
      </w:pPr>
      <w:r>
        <w:rPr>
          <w:rFonts w:ascii="Garamond" w:cs="Garamond" w:eastAsia="Garamond" w:hAnsi="Garamond"/>
          <w:b w:val="false"/>
          <w:bCs w:val="false"/>
          <w:i w:val="false"/>
          <w:iCs w:val="false"/>
          <w:color w:val="666666"/>
          <w:sz w:val="20"/>
          <w:szCs w:val="20"/>
        </w:rPr>
        <w:t xml:space="preserve">The Loss</w:t>
      </w:r>
    </w:p>
    <w:p>
      <w:pPr>
        <w:spacing w:before="40" w:after="40"/>
        <w:jc w:val="left"/>
      </w:pPr>
      <w:r>
        <w:rPr>
          <w:rFonts w:ascii="Garamond" w:cs="Garamond" w:eastAsia="Garamond" w:hAnsi="Garamond"/>
          <w:b w:val="false"/>
          <w:bCs w:val="false"/>
          <w:i w:val="false"/>
          <w:iCs w:val="false"/>
          <w:color w:val="666666"/>
          <w:sz w:val="20"/>
          <w:szCs w:val="20"/>
        </w:rPr>
        <w:t xml:space="preserve">The Comeback</w:t>
      </w:r>
    </w:p>
    <w:p>
      <w:pPr>
        <w:spacing w:before="40" w:after="40"/>
        <w:jc w:val="left"/>
      </w:pPr>
      <w:r>
        <w:rPr>
          <w:rFonts w:ascii="Garamond" w:cs="Garamond" w:eastAsia="Garamond" w:hAnsi="Garamond"/>
          <w:b w:val="false"/>
          <w:bCs w:val="false"/>
          <w:i w:val="false"/>
          <w:iCs w:val="false"/>
          <w:color w:val="666666"/>
          <w:sz w:val="20"/>
          <w:szCs w:val="20"/>
        </w:rPr>
        <w:t xml:space="preserve">The Parent</w:t>
      </w:r>
    </w:p>
    <w:p>
      <w:pPr>
        <w:spacing w:before="40" w:after="40"/>
        <w:jc w:val="left"/>
      </w:pPr>
      <w:r>
        <w:rPr>
          <w:rFonts w:ascii="Garamond" w:cs="Garamond" w:eastAsia="Garamond" w:hAnsi="Garamond"/>
          <w:b w:val="false"/>
          <w:bCs w:val="false"/>
          <w:i w:val="false"/>
          <w:iCs w:val="false"/>
          <w:color w:val="666666"/>
          <w:sz w:val="20"/>
          <w:szCs w:val="20"/>
        </w:rPr>
        <w:t xml:space="preserve">The Partner</w:t>
      </w:r>
    </w:p>
    <w:p>
      <w:pPr>
        <w:spacing w:before="40" w:after="40"/>
        <w:jc w:val="left"/>
      </w:pPr>
      <w:r>
        <w:rPr>
          <w:rFonts w:ascii="Garamond" w:cs="Garamond" w:eastAsia="Garamond" w:hAnsi="Garamond"/>
          <w:b w:val="false"/>
          <w:bCs w:val="false"/>
          <w:i w:val="false"/>
          <w:iCs w:val="false"/>
          <w:color w:val="666666"/>
          <w:sz w:val="20"/>
          <w:szCs w:val="20"/>
        </w:rPr>
        <w:t xml:space="preserve">The Mentor</w:t>
      </w:r>
    </w:p>
    <w:p>
      <w:pPr>
        <w:spacing w:before="40" w:after="40"/>
        <w:jc w:val="left"/>
      </w:pPr>
      <w:r>
        <w:rPr>
          <w:rFonts w:ascii="Garamond" w:cs="Garamond" w:eastAsia="Garamond" w:hAnsi="Garamond"/>
          <w:b w:val="false"/>
          <w:bCs w:val="false"/>
          <w:i w:val="false"/>
          <w:iCs w:val="false"/>
          <w:color w:val="666666"/>
          <w:sz w:val="20"/>
          <w:szCs w:val="20"/>
        </w:rPr>
        <w:t xml:space="preserve">The Counter</w:t>
      </w:r>
    </w:p>
    <w:p>
      <w:pPr>
        <w:spacing w:before="40" w:after="40"/>
        <w:jc w:val="left"/>
      </w:pPr>
      <w:r>
        <w:rPr>
          <w:rFonts w:ascii="Garamond" w:cs="Garamond" w:eastAsia="Garamond" w:hAnsi="Garamond"/>
          <w:b w:val="false"/>
          <w:bCs w:val="false"/>
          <w:i w:val="false"/>
          <w:iCs w:val="false"/>
          <w:color w:val="666666"/>
          <w:sz w:val="20"/>
          <w:szCs w:val="20"/>
        </w:rPr>
        <w:t xml:space="preserve">The Room</w:t>
      </w:r>
    </w:p>
    <w:p>
      <w:pPr>
        <w:spacing w:before="40" w:after="40"/>
        <w:jc w:val="left"/>
      </w:pPr>
      <w:r>
        <w:rPr>
          <w:rFonts w:ascii="Garamond" w:cs="Garamond" w:eastAsia="Garamond" w:hAnsi="Garamond"/>
          <w:b w:val="false"/>
          <w:bCs w:val="false"/>
          <w:i w:val="false"/>
          <w:iCs w:val="false"/>
          <w:color w:val="666666"/>
          <w:sz w:val="20"/>
          <w:szCs w:val="20"/>
        </w:rPr>
        <w:t xml:space="preserve">The Silence</w:t>
      </w:r>
    </w:p>
    <w:p>
      <w:pPr>
        <w:spacing w:before="12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val="false"/>
          <w:bCs w:val="false"/>
          <w:i/>
          <w:iCs/>
          <w:color w:val="C4A95A"/>
          <w:sz w:val="22"/>
          <w:szCs w:val="22"/>
        </w:rPr>
        <w:t xml:space="preserve">The PLT Doctrine Series</w:t>
      </w:r>
    </w:p>
    <w:p>
      <w:pPr>
        <w:spacing w:before="80" w:after="0"/>
        <w:jc w:val="left"/>
      </w:pPr>
      <w:r>
        <w:rPr>
          <w:rFonts w:ascii="Garamond" w:cs="Garamond" w:eastAsia="Garamond" w:hAnsi="Garamond"/>
          <w:b w:val="false"/>
          <w:bCs w:val="false"/>
          <w:i w:val="false"/>
          <w:iCs w:val="false"/>
          <w:color w:val="0A0A0A"/>
          <w:sz w:val="24"/>
          <w:szCs w:val="24"/>
        </w:rPr>
        <w:t xml:space="preserve"/>
      </w:r>
    </w:p>
    <w:p>
      <w:pPr>
        <w:spacing w:before="40" w:after="40"/>
        <w:jc w:val="left"/>
      </w:pPr>
      <w:r>
        <w:rPr>
          <w:rFonts w:ascii="Garamond" w:cs="Garamond" w:eastAsia="Garamond" w:hAnsi="Garamond"/>
          <w:b w:val="false"/>
          <w:bCs w:val="false"/>
          <w:i w:val="false"/>
          <w:iCs w:val="false"/>
          <w:color w:val="666666"/>
          <w:sz w:val="20"/>
          <w:szCs w:val="20"/>
        </w:rPr>
        <w:t xml:space="preserve">Profit. Love. Tax. — The Complete Doctrine</w:t>
      </w:r>
    </w:p>
    <w:p>
      <w:pPr>
        <w:spacing w:before="40" w:after="40"/>
        <w:jc w:val="left"/>
      </w:pPr>
      <w:r>
        <w:rPr>
          <w:rFonts w:ascii="Garamond" w:cs="Garamond" w:eastAsia="Garamond" w:hAnsi="Garamond"/>
          <w:b w:val="false"/>
          <w:bCs w:val="false"/>
          <w:i w:val="false"/>
          <w:iCs w:val="false"/>
          <w:color w:val="666666"/>
          <w:sz w:val="20"/>
          <w:szCs w:val="20"/>
        </w:rPr>
        <w:t xml:space="preserve">Know What You Are: The 22 Archetypes</w:t>
      </w:r>
    </w:p>
    <w:p>
      <w:pPr>
        <w:spacing w:before="40" w:after="40"/>
        <w:jc w:val="left"/>
      </w:pPr>
      <w:r>
        <w:rPr>
          <w:rFonts w:ascii="Garamond" w:cs="Garamond" w:eastAsia="Garamond" w:hAnsi="Garamond"/>
          <w:b w:val="false"/>
          <w:bCs w:val="false"/>
          <w:i w:val="false"/>
          <w:iCs w:val="false"/>
          <w:color w:val="666666"/>
          <w:sz w:val="20"/>
          <w:szCs w:val="20"/>
        </w:rPr>
        <w:t xml:space="preserve">The PLT Daily: 52 Weeks</w:t>
      </w:r>
    </w:p>
    <w:p>
      <w:pPr>
        <w:spacing w:before="40" w:after="40"/>
        <w:jc w:val="left"/>
      </w:pPr>
      <w:r>
        <w:rPr>
          <w:rFonts w:ascii="Garamond" w:cs="Garamond" w:eastAsia="Garamond" w:hAnsi="Garamond"/>
          <w:b w:val="false"/>
          <w:bCs w:val="false"/>
          <w:i w:val="false"/>
          <w:iCs w:val="false"/>
          <w:color w:val="666666"/>
          <w:sz w:val="20"/>
          <w:szCs w:val="20"/>
        </w:rPr>
        <w:t xml:space="preserve">The Internal Scorer</w:t>
      </w:r>
    </w:p>
    <w:p>
      <w:pPr>
        <w:spacing w:before="40" w:after="40"/>
        <w:jc w:val="left"/>
      </w:pPr>
      <w:r>
        <w:rPr>
          <w:rFonts w:ascii="Garamond" w:cs="Garamond" w:eastAsia="Garamond" w:hAnsi="Garamond"/>
          <w:b w:val="false"/>
          <w:bCs w:val="false"/>
          <w:i w:val="false"/>
          <w:iCs w:val="false"/>
          <w:color w:val="666666"/>
          <w:sz w:val="20"/>
          <w:szCs w:val="20"/>
        </w:rPr>
        <w:t xml:space="preserve">Evol's Love Story</w:t>
      </w:r>
    </w:p>
    <w:p>
      <w:pPr>
        <w:spacing w:before="40" w:after="40"/>
        <w:jc w:val="left"/>
      </w:pPr>
      <w:r>
        <w:rPr>
          <w:rFonts w:ascii="Garamond" w:cs="Garamond" w:eastAsia="Garamond" w:hAnsi="Garamond"/>
          <w:b w:val="false"/>
          <w:bCs w:val="false"/>
          <w:i w:val="false"/>
          <w:iCs w:val="false"/>
          <w:color w:val="666666"/>
          <w:sz w:val="20"/>
          <w:szCs w:val="20"/>
        </w:rPr>
        <w:t xml:space="preserve">Brasi: The Love of the Game</w:t>
      </w:r>
    </w:p>
    <w:p>
      <w:pPr>
        <w:spacing w:before="40" w:after="40"/>
        <w:jc w:val="left"/>
      </w:pPr>
      <w:r>
        <w:rPr>
          <w:rFonts w:ascii="Garamond" w:cs="Garamond" w:eastAsia="Garamond" w:hAnsi="Garamond"/>
          <w:b w:val="false"/>
          <w:bCs w:val="false"/>
          <w:i w:val="false"/>
          <w:iCs w:val="false"/>
          <w:color w:val="666666"/>
          <w:sz w:val="20"/>
          <w:szCs w:val="20"/>
        </w:rPr>
        <w:t xml:space="preserve">Stiforp</w:t>
      </w:r>
    </w:p>
    <w:p>
      <w:pPr>
        <w:spacing w:before="40" w:after="40"/>
        <w:jc w:val="left"/>
      </w:pPr>
      <w:r>
        <w:rPr>
          <w:rFonts w:ascii="Garamond" w:cs="Garamond" w:eastAsia="Garamond" w:hAnsi="Garamond"/>
          <w:b w:val="false"/>
          <w:bCs w:val="false"/>
          <w:i w:val="false"/>
          <w:iCs w:val="false"/>
          <w:color w:val="666666"/>
          <w:sz w:val="20"/>
          <w:szCs w:val="20"/>
        </w:rPr>
        <w:t xml:space="preserve">The Build: Pope &amp; Brasi</w:t>
      </w:r>
    </w:p>
    <w:sectPr>
      <w:pgSz w:w="1188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0A0A0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2026-03-12T06:26:33.983Z</dcterms:created>
  <dcterms:modified xsi:type="dcterms:W3CDTF">2026-03-12T06:26:33.984Z</dcterms:modified>
</cp:coreProperties>
</file>

<file path=docProps/custom.xml><?xml version="1.0" encoding="utf-8"?>
<Properties xmlns="http://schemas.openxmlformats.org/officeDocument/2006/custom-properties" xmlns:vt="http://schemas.openxmlformats.org/officeDocument/2006/docPropsVTypes"/>
</file>