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180"/>
          <w:szCs w:val="180"/>
        </w:rPr>
        <w:t xml:space="preserve">THE BRIEF</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bottom w:val="single" w:color="C4A95A" w:sz="10" w:space="10"/>
        </w:pBdr>
        <w:spacing w:before="0" w:after="120"/>
      </w:pPr>
      <w:r>
        <w:rPr>
          <w:rFonts w:ascii="Garamond" w:cs="Garamond" w:eastAsia="Garamond" w:hAnsi="Garamond"/>
          <w:b/>
          <w:bCs/>
          <w:i w:val="false"/>
          <w:iCs w:val="false"/>
          <w:color w:val="C4A95A"/>
          <w:sz w:val="30"/>
          <w:szCs w:val="30"/>
        </w:rPr>
        <w:t xml:space="preserve">Seven things the real estate industry depends on you never calculating.</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val="false"/>
          <w:iCs w:val="false"/>
          <w:color w:val="555555"/>
          <w:sz w:val="22"/>
          <w:szCs w:val="22"/>
        </w:rPr>
        <w:t xml:space="preserve">This document was not approved by your brokerage.</w:t>
      </w:r>
    </w:p>
    <w:p>
      <w:pPr>
        <w:spacing w:before="0" w:after="0"/>
        <w:jc w:val="left"/>
      </w:pPr>
      <w:r>
        <w:rPr>
          <w:rFonts w:ascii="Garamond" w:cs="Garamond" w:eastAsia="Garamond" w:hAnsi="Garamond"/>
          <w:b w:val="false"/>
          <w:bCs w:val="false"/>
          <w:i w:val="false"/>
          <w:iCs w:val="false"/>
          <w:color w:val="555555"/>
          <w:sz w:val="22"/>
          <w:szCs w:val="22"/>
        </w:rPr>
        <w:t xml:space="preserve">It was not produced by your franchise.</w:t>
      </w:r>
    </w:p>
    <w:p>
      <w:pPr>
        <w:spacing w:before="0" w:after="0"/>
        <w:jc w:val="left"/>
      </w:pPr>
      <w:r>
        <w:rPr>
          <w:rFonts w:ascii="Garamond" w:cs="Garamond" w:eastAsia="Garamond" w:hAnsi="Garamond"/>
          <w:b w:val="false"/>
          <w:bCs w:val="false"/>
          <w:i w:val="false"/>
          <w:iCs w:val="false"/>
          <w:color w:val="555555"/>
          <w:sz w:val="22"/>
          <w:szCs w:val="22"/>
        </w:rPr>
        <w:t xml:space="preserve">No coaching program will send it to you.</w:t>
      </w:r>
    </w:p>
    <w:p>
      <w:pPr>
        <w:spacing w:before="16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555555"/>
          <w:sz w:val="22"/>
          <w:szCs w:val="22"/>
        </w:rPr>
        <w:t xml:space="preserve">The calculations it contains take twenty minutes to read.</w:t>
      </w:r>
    </w:p>
    <w:p>
      <w:pPr>
        <w:spacing w:before="0" w:after="0"/>
        <w:jc w:val="left"/>
      </w:pPr>
      <w:r>
        <w:rPr>
          <w:rFonts w:ascii="Garamond" w:cs="Garamond" w:eastAsia="Garamond" w:hAnsi="Garamond"/>
          <w:b w:val="false"/>
          <w:bCs w:val="false"/>
          <w:i/>
          <w:iCs/>
          <w:color w:val="555555"/>
          <w:sz w:val="22"/>
          <w:szCs w:val="22"/>
        </w:rPr>
        <w:t xml:space="preserve">Most agents who read them never see the business the same way again.</w:t>
      </w:r>
    </w:p>
    <w:p>
      <w:pPr>
        <w:spacing w:before="6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6"/>
          <w:szCs w:val="26"/>
        </w:rPr>
        <w:t xml:space="preserve">Craig Jones</w:t>
      </w:r>
    </w:p>
    <w:p>
      <w:pPr>
        <w:spacing w:before="0" w:after="0"/>
        <w:jc w:val="left"/>
      </w:pPr>
      <w:r>
        <w:rPr>
          <w:rFonts w:ascii="Garamond" w:cs="Garamond" w:eastAsia="Garamond" w:hAnsi="Garamond"/>
          <w:b w:val="false"/>
          <w:bCs w:val="false"/>
          <w:i w:val="false"/>
          <w:iCs w:val="false"/>
          <w:color w:val="555555"/>
          <w:sz w:val="20"/>
          <w:szCs w:val="20"/>
        </w:rPr>
        <w:t xml:space="preserve">Little Bunny  ·  The PLT Press</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160"/>
        <w:jc w:val="center"/>
      </w:pPr>
      <w:r>
        <w:rPr>
          <w:rFonts w:ascii="Garamond" w:cs="Garamond" w:eastAsia="Garamond" w:hAnsi="Garamond"/>
          <w:b w:val="false"/>
          <w:bCs w:val="false"/>
          <w:i/>
          <w:iCs/>
          <w:color w:val="C4A95A"/>
          <w:sz w:val="34"/>
          <w:szCs w:val="34"/>
        </w:rPr>
        <w:t xml:space="preserve">Before the Seven Numbers</w:t>
      </w:r>
    </w:p>
    <w:p>
      <w:pPr>
        <w:pBdr>
          <w:bottom w:val="single" w:color="C4A95A" w:sz="8" w:space="6"/>
        </w:pBdr>
        <w:spacing w:before="120" w:after="120"/>
      </w:pPr>
      <w:r>
        <w:rPr>
          <w:rFonts w:ascii="Garamond" w:cs="Garamond" w:eastAsia="Garamond" w:hAnsi="Garamond"/>
          <w:b w:val="false"/>
          <w:bCs w:val="false"/>
          <w:i w:val="false"/>
          <w:iCs w:val="false"/>
          <w:color w:val="0A0A0A"/>
          <w:sz w:val="24"/>
          <w:szCs w:val="24"/>
        </w:rPr>
        <w:t xml:space="preserve"/>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160" w:after="100"/>
        <w:jc w:val="both"/>
      </w:pPr>
      <w:r>
        <w:rPr>
          <w:rFonts w:ascii="Garamond" w:cs="Garamond" w:eastAsia="Garamond" w:hAnsi="Garamond"/>
          <w:b w:val="false"/>
          <w:bCs w:val="false"/>
          <w:i w:val="false"/>
          <w:iCs w:val="false"/>
          <w:color w:val="1A1A1A"/>
          <w:sz w:val="24"/>
          <w:szCs w:val="24"/>
        </w:rPr>
        <w:t xml:space="preserve">There is a version of the real estate career that most agents never discover. Not because it is hidden exactly — because the path to it runs through seven specific calculations that the industry has an active financial interest in agents never running.</w:t>
      </w:r>
    </w:p>
    <w:p>
      <w:pPr>
        <w:spacing w:before="160" w:after="100"/>
        <w:jc w:val="both"/>
      </w:pPr>
      <w:r>
        <w:rPr>
          <w:rFonts w:ascii="Garamond" w:cs="Garamond" w:eastAsia="Garamond" w:hAnsi="Garamond"/>
          <w:b w:val="false"/>
          <w:bCs w:val="false"/>
          <w:i w:val="false"/>
          <w:iCs w:val="false"/>
          <w:color w:val="1A1A1A"/>
          <w:sz w:val="24"/>
          <w:szCs w:val="24"/>
        </w:rPr>
        <w:t xml:space="preserve">The industry profits from the gap. The gap between what your production generates and what you keep. The gap between your current referral rate and the one your practice is actually capable of producing. The gap between the tax you are paying and the tax you are required to pay. The gap between the clients who are building your career and the clients who are costing it.</w:t>
      </w:r>
    </w:p>
    <w:p>
      <w:pPr>
        <w:spacing w:before="160" w:after="100"/>
        <w:jc w:val="both"/>
      </w:pPr>
      <w:r>
        <w:rPr>
          <w:rFonts w:ascii="Garamond" w:cs="Garamond" w:eastAsia="Garamond" w:hAnsi="Garamond"/>
          <w:b w:val="false"/>
          <w:bCs w:val="false"/>
          <w:i w:val="false"/>
          <w:iCs w:val="false"/>
          <w:color w:val="1A1A1A"/>
          <w:sz w:val="24"/>
          <w:szCs w:val="24"/>
        </w:rPr>
        <w:t xml:space="preserve">Every agent reading this right now has a number of dollars sitting in that gap. Some have $20,000 in the gap. Some have $80,000. Some have more. The gap is not produced by the market or the economy or the interest rate environment. It is produced by the absence of seven specific calculations. The calculations are not complicated. They require no advanced degree and no specialized knowledge. They require only the willingness to look directly at the actual numbers — not the comfortable version of them, the actual version.</w:t>
      </w:r>
    </w:p>
    <w:p>
      <w:pPr>
        <w:spacing w:before="160" w:after="100"/>
        <w:jc w:val="both"/>
      </w:pPr>
      <w:r>
        <w:rPr>
          <w:rFonts w:ascii="Garamond" w:cs="Garamond" w:eastAsia="Garamond" w:hAnsi="Garamond"/>
          <w:b w:val="false"/>
          <w:bCs w:val="false"/>
          <w:i w:val="false"/>
          <w:iCs w:val="false"/>
          <w:color w:val="1A1A1A"/>
          <w:sz w:val="24"/>
          <w:szCs w:val="24"/>
        </w:rPr>
        <w:t xml:space="preserve">This document provides the seven calculations. It will take you twenty minutes to read. What you do with the results is the only question that follows.</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20" w:space="20"/>
          <w:right w:val="single" w:color="C4A95A" w:sz="4" w:space="16"/>
        </w:pBdr>
        <w:spacing w:before="300" w:after="300"/>
        <w:ind w:left="360" w:right="360"/>
        <w:jc w:val="center"/>
      </w:pPr>
      <w:r>
        <w:rPr>
          <w:rFonts w:ascii="Garamond" w:cs="Garamond" w:eastAsia="Garamond" w:hAnsi="Garamond"/>
          <w:b w:val="false"/>
          <w:bCs w:val="false"/>
          <w:i/>
          <w:iCs/>
          <w:color w:val="C4A95A"/>
          <w:sz w:val="30"/>
          <w:szCs w:val="30"/>
        </w:rPr>
        <w:t xml:space="preserve">PROFIT + LOVE − TAX = TRUE VALUE. This is the equation. Everything in these pages is a specific application of it.</w:t>
      </w:r>
    </w:p>
    <w:p>
      <w:pPr>
        <w:spacing w:before="160" w:after="100"/>
        <w:jc w:val="both"/>
      </w:pPr>
      <w:r>
        <w:rPr>
          <w:rFonts w:ascii="Garamond" w:cs="Garamond" w:eastAsia="Garamond" w:hAnsi="Garamond"/>
          <w:b w:val="false"/>
          <w:bCs w:val="false"/>
          <w:i w:val="false"/>
          <w:iCs w:val="false"/>
          <w:color w:val="1A1A1A"/>
          <w:sz w:val="24"/>
          <w:szCs w:val="24"/>
        </w:rPr>
        <w:t xml:space="preserve">Each section ends with a PLT score — three numbers that represent the Profit, Love, and Tax of the situation being described. Profit is the financial return. Love is the trust, loyalty, and referral capital. Tax is the full cost — visible and invisible. The equation P + L − T = True Value. Read the scores as a comparison: the current situation versus the situation that the calculation reveals is available.</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pBdr>
          <w:bottom w:val="single" w:color="C4A95A" w:sz="8" w:space="8"/>
        </w:pBdr>
        <w:spacing w:before="0" w:after="200"/>
      </w:pPr>
      <w:r>
        <w:rPr>
          <w:rFonts w:ascii="Garamond" w:cs="Garamond" w:eastAsia="Garamond" w:hAnsi="Garamond"/>
          <w:b/>
          <w:bCs/>
          <w:color w:val="C4A95A"/>
          <w:sz w:val="52"/>
          <w:szCs w:val="52"/>
        </w:rPr>
        <w:t xml:space="preserve">1.  </w:t>
      </w:r>
      <w:r>
        <w:rPr>
          <w:rFonts w:ascii="Garamond" w:cs="Garamond" w:eastAsia="Garamond" w:hAnsi="Garamond"/>
          <w:b/>
          <w:bCs/>
          <w:color w:val="0A0A0A"/>
          <w:sz w:val="44"/>
          <w:szCs w:val="44"/>
        </w:rPr>
        <w:t xml:space="preserve">Your Actual Net Per Transaction</w:t>
      </w:r>
    </w:p>
    <w:p>
      <w:pPr>
        <w:spacing w:before="160" w:after="100"/>
        <w:jc w:val="both"/>
      </w:pPr>
      <w:r>
        <w:rPr>
          <w:rFonts w:ascii="Garamond" w:cs="Garamond" w:eastAsia="Garamond" w:hAnsi="Garamond"/>
          <w:b w:val="false"/>
          <w:bCs w:val="false"/>
          <w:i w:val="false"/>
          <w:iCs w:val="false"/>
          <w:color w:val="1A1A1A"/>
          <w:sz w:val="24"/>
          <w:szCs w:val="24"/>
        </w:rPr>
        <w:t xml:space="preserve">Every agent knows their gross commission income. It is the number that gets quoted at brokerage meetings, that appears on the production rankings, and that forms the basis of the income story agents tell themselves and others. The GCI is the comfortable number.</w:t>
      </w:r>
    </w:p>
    <w:p>
      <w:pPr>
        <w:spacing w:before="160" w:after="100"/>
        <w:jc w:val="both"/>
      </w:pPr>
      <w:r>
        <w:rPr>
          <w:rFonts w:ascii="Garamond" w:cs="Garamond" w:eastAsia="Garamond" w:hAnsi="Garamond"/>
          <w:b w:val="false"/>
          <w:bCs w:val="false"/>
          <w:i w:val="false"/>
          <w:iCs w:val="false"/>
          <w:color w:val="1A1A1A"/>
          <w:sz w:val="24"/>
          <w:szCs w:val="24"/>
        </w:rPr>
        <w:t xml:space="preserve">The number that determines the financial quality of your career is not the GCI. It is the net per transaction — the amount that remains after every cost associated with generating, completing, and supporting that transaction is accounted for. This calculation is run honestly by almost no agent. Not because the calculation is difficult. Because the result is uncomfortable.</w:t>
      </w:r>
    </w:p>
    <w:p>
      <w:pPr>
        <w:spacing w:before="160" w:after="100"/>
        <w:jc w:val="both"/>
      </w:pPr>
      <w:r>
        <w:rPr>
          <w:rFonts w:ascii="Garamond" w:cs="Garamond" w:eastAsia="Garamond" w:hAnsi="Garamond"/>
          <w:b w:val="false"/>
          <w:bCs w:val="false"/>
          <w:i w:val="false"/>
          <w:iCs w:val="false"/>
          <w:color w:val="1A1A1A"/>
          <w:sz w:val="24"/>
          <w:szCs w:val="24"/>
        </w:rPr>
        <w:t xml:space="preserve">The costs of a single residential transaction that most agents do not fully account for: the proportional marketing cost of the lead that became the client (not just the marketing for this transaction — the total annual marketing spend divided by the number of transactions it produced), the proportional cost of the vehicle, the proportional cost of professional tools and subscriptions, the proportional cost of errors and omissions insurance, the time cost at a genuine hourly rate for every hour invested in this specific transaction from first contact to final close, and the tax cost including the self-employment tax that most agents consistently underestimate.</w:t>
      </w:r>
    </w:p>
    <w:p>
      <w:pPr>
        <w:pBdr>
          <w:top w:val="single" w:color="C4A95A" w:sz="4" w:space="8"/>
          <w:bottom w:val="single" w:color="C4A95A" w:sz="4" w:space="8"/>
        </w:pBdr>
        <w:spacing w:before="240" w:after="240"/>
        <w:ind w:left="360" w:right="360"/>
        <w:jc w:val="center"/>
      </w:pPr>
      <w:r>
        <w:rPr>
          <w:rFonts w:ascii="Garamond" w:cs="Garamond" w:eastAsia="Garamond" w:hAnsi="Garamond"/>
          <w:b w:val="false"/>
          <w:bCs w:val="false"/>
          <w:i/>
          <w:iCs/>
          <w:color w:val="C4A95A"/>
          <w:sz w:val="28"/>
          <w:szCs w:val="28"/>
        </w:rPr>
        <w:t xml:space="preserve">Run the calculation on your last transaction. Be honest about every line.</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Gross commission:  </w:t>
      </w:r>
      <w:r>
        <w:rPr>
          <w:rFonts w:ascii="Garamond" w:cs="Garamond" w:eastAsia="Garamond" w:hAnsi="Garamond"/>
          <w:i/>
          <w:iCs/>
          <w:color w:val="555555"/>
          <w:sz w:val="22"/>
          <w:szCs w:val="22"/>
        </w:rPr>
        <w:t xml:space="preserve">full rate received</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$9,200</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Brokerage split:  </w:t>
      </w:r>
      <w:r>
        <w:rPr>
          <w:rFonts w:ascii="Garamond" w:cs="Garamond" w:eastAsia="Garamond" w:hAnsi="Garamond"/>
          <w:i/>
          <w:iCs/>
          <w:color w:val="555555"/>
          <w:sz w:val="22"/>
          <w:szCs w:val="22"/>
        </w:rPr>
        <w:t xml:space="preserve">30% to broker</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 $2,760</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Marketing allocation:  </w:t>
      </w:r>
      <w:r>
        <w:rPr>
          <w:rFonts w:ascii="Garamond" w:cs="Garamond" w:eastAsia="Garamond" w:hAnsi="Garamond"/>
          <w:i/>
          <w:iCs/>
          <w:color w:val="555555"/>
          <w:sz w:val="22"/>
          <w:szCs w:val="22"/>
        </w:rPr>
        <w:t xml:space="preserve">annual spend ÷ transactions</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 $840</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Time cost:  </w:t>
      </w:r>
      <w:r>
        <w:rPr>
          <w:rFonts w:ascii="Garamond" w:cs="Garamond" w:eastAsia="Garamond" w:hAnsi="Garamond"/>
          <w:i/>
          <w:iCs/>
          <w:color w:val="555555"/>
          <w:sz w:val="22"/>
          <w:szCs w:val="22"/>
        </w:rPr>
        <w:t xml:space="preserve">48 hours × $75/hr minimum</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 $3,600</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SE tax on net:  </w:t>
      </w:r>
      <w:r>
        <w:rPr>
          <w:rFonts w:ascii="Garamond" w:cs="Garamond" w:eastAsia="Garamond" w:hAnsi="Garamond"/>
          <w:i/>
          <w:iCs/>
          <w:color w:val="555555"/>
          <w:sz w:val="22"/>
          <w:szCs w:val="22"/>
        </w:rPr>
        <w:t xml:space="preserve">15.3% on self-employment income</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 $740</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Actual net per transaction:  </w:t>
      </w:r>
      <w:r>
        <w:rPr>
          <w:rFonts w:ascii="Garamond" w:cs="Garamond" w:eastAsia="Garamond" w:hAnsi="Garamond"/>
          <w:i/>
          <w:iCs/>
          <w:color w:val="555555"/>
          <w:sz w:val="22"/>
          <w:szCs w:val="22"/>
        </w:rPr>
        <w:t xml:space="preserve">what you actually kept</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$3,260</w:t>
      </w:r>
    </w:p>
    <w:p>
      <w:pPr>
        <w:spacing w:before="160" w:after="100"/>
        <w:jc w:val="both"/>
      </w:pPr>
      <w:r>
        <w:rPr>
          <w:rFonts w:ascii="Garamond" w:cs="Garamond" w:eastAsia="Garamond" w:hAnsi="Garamond"/>
          <w:b w:val="false"/>
          <w:bCs w:val="false"/>
          <w:i w:val="false"/>
          <w:iCs w:val="false"/>
          <w:color w:val="1A1A1A"/>
          <w:sz w:val="24"/>
          <w:szCs w:val="24"/>
        </w:rPr>
        <w:t xml:space="preserve">For most agents, when the calculation is run honestly, the actual net per transaction is 30–45% of the gross commission number they quote. The $9,200 commission becomes $3,200–$4,100 in genuine after-tax, after-cost net income. This is not a bad outcome — it is the honest starting point. The agent who knows the real number makes different decisions about which transactions to pursue, which clients to accept, and which practices are worth the investment.</w:t>
      </w:r>
    </w:p>
    <w:p>
      <w:pPr>
        <w:spacing w:before="160" w:after="100"/>
        <w:jc w:val="both"/>
      </w:pPr>
      <w:r>
        <w:rPr>
          <w:rFonts w:ascii="Garamond" w:cs="Garamond" w:eastAsia="Garamond" w:hAnsi="Garamond"/>
          <w:b w:val="false"/>
          <w:bCs w:val="false"/>
          <w:i w:val="false"/>
          <w:iCs w:val="false"/>
          <w:color w:val="1A1A1A"/>
          <w:sz w:val="24"/>
          <w:szCs w:val="24"/>
        </w:rPr>
        <w:t xml:space="preserve">The agent who operates from the gross number overestimates the business they are in. The agent who operates from the net number understands it.</w:t>
      </w:r>
    </w:p>
    <w:p>
      <w:pPr>
        <w:pBdr>
          <w:left w:val="single" w:color="C4A95A" w:sz="12" w:space="14"/>
        </w:pBdr>
        <w:spacing w:before="80" w:after="200"/>
        <w:ind w:left="280"/>
      </w:pPr>
      <w:r>
        <w:rPr>
          <w:rFonts w:ascii="Garamond" w:cs="Garamond" w:eastAsia="Garamond" w:hAnsi="Garamond"/>
          <w:b/>
          <w:bCs/>
          <w:color w:val="A8C4D4"/>
          <w:sz w:val="22"/>
          <w:szCs w:val="22"/>
        </w:rPr>
        <w:t xml:space="preserve">P +8  </w:t>
      </w:r>
      <w:r>
        <w:rPr>
          <w:rFonts w:ascii="Garamond" w:cs="Garamond" w:eastAsia="Garamond" w:hAnsi="Garamond"/>
          <w:b/>
          <w:bCs/>
          <w:color w:val="D4A8A8"/>
          <w:sz w:val="22"/>
          <w:szCs w:val="22"/>
        </w:rPr>
        <w:t xml:space="preserve">L +7  </w:t>
      </w:r>
      <w:r>
        <w:rPr>
          <w:rFonts w:ascii="Garamond" w:cs="Garamond" w:eastAsia="Garamond" w:hAnsi="Garamond"/>
          <w:b/>
          <w:bCs/>
          <w:color w:val="D4C4A8"/>
          <w:sz w:val="22"/>
          <w:szCs w:val="22"/>
        </w:rPr>
        <w:t xml:space="preserve">T -3  </w:t>
      </w:r>
      <w:r>
        <w:rPr>
          <w:rFonts w:ascii="Garamond" w:cs="Garamond" w:eastAsia="Garamond" w:hAnsi="Garamond"/>
          <w:i/>
          <w:iCs/>
          <w:color w:val="555555"/>
          <w:sz w:val="20"/>
          <w:szCs w:val="20"/>
        </w:rPr>
        <w:t xml:space="preserve">  Operating from gross vs. net: same production, different decisions.</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pBdr>
          <w:bottom w:val="single" w:color="C4A95A" w:sz="8" w:space="8"/>
        </w:pBdr>
        <w:spacing w:before="0" w:after="200"/>
      </w:pPr>
      <w:r>
        <w:rPr>
          <w:rFonts w:ascii="Garamond" w:cs="Garamond" w:eastAsia="Garamond" w:hAnsi="Garamond"/>
          <w:b/>
          <w:bCs/>
          <w:color w:val="C4A95A"/>
          <w:sz w:val="52"/>
          <w:szCs w:val="52"/>
        </w:rPr>
        <w:t xml:space="preserve">2.  </w:t>
      </w:r>
      <w:r>
        <w:rPr>
          <w:rFonts w:ascii="Garamond" w:cs="Garamond" w:eastAsia="Garamond" w:hAnsi="Garamond"/>
          <w:b/>
          <w:bCs/>
          <w:color w:val="0A0A0A"/>
          <w:sz w:val="44"/>
          <w:szCs w:val="44"/>
        </w:rPr>
        <w:t xml:space="preserve">The Referral Rate Your Practice Is Actually Capable Of</w:t>
      </w:r>
    </w:p>
    <w:p>
      <w:pPr>
        <w:spacing w:before="160" w:after="100"/>
        <w:jc w:val="both"/>
      </w:pPr>
      <w:r>
        <w:rPr>
          <w:rFonts w:ascii="Garamond" w:cs="Garamond" w:eastAsia="Garamond" w:hAnsi="Garamond"/>
          <w:b w:val="false"/>
          <w:bCs w:val="false"/>
          <w:i w:val="false"/>
          <w:iCs w:val="false"/>
          <w:color w:val="1A1A1A"/>
          <w:sz w:val="24"/>
          <w:szCs w:val="24"/>
        </w:rPr>
        <w:t xml:space="preserve">The referral rate is the most consequential number in the residential real estate career and the one that receives the least deliberate attention. Most agents know approximately what percentage of their business comes from referrals. Almost no agent knows what their referral rate is capable of being — or what the gap between current and capable costs them annually.</w:t>
      </w:r>
    </w:p>
    <w:p>
      <w:pPr>
        <w:spacing w:before="160" w:after="100"/>
        <w:jc w:val="both"/>
      </w:pPr>
      <w:r>
        <w:rPr>
          <w:rFonts w:ascii="Garamond" w:cs="Garamond" w:eastAsia="Garamond" w:hAnsi="Garamond"/>
          <w:b w:val="false"/>
          <w:bCs w:val="false"/>
          <w:i w:val="false"/>
          <w:iCs w:val="false"/>
          <w:color w:val="1A1A1A"/>
          <w:sz w:val="24"/>
          <w:szCs w:val="24"/>
        </w:rPr>
        <w:t xml:space="preserve">The research is consistent and has been for decades: agents who systematically maintain client relationships generate referral rates of 60–72% of annual production. Agents who do not systematically maintain those relationships generate referral rates of 15–22%. The difference is not explained by talent, market expertise, or communication skill. It is explained by one variable: whether the agent has a specific, consistent practice for maintaining relationships with past clients between transactions.</w:t>
      </w:r>
    </w:p>
    <w:p>
      <w:pPr>
        <w:spacing w:before="160" w:after="100"/>
        <w:jc w:val="both"/>
      </w:pPr>
      <w:r>
        <w:rPr>
          <w:rFonts w:ascii="Garamond" w:cs="Garamond" w:eastAsia="Garamond" w:hAnsi="Garamond"/>
          <w:b w:val="false"/>
          <w:bCs w:val="false"/>
          <w:i w:val="false"/>
          <w:iCs w:val="false"/>
          <w:color w:val="1A1A1A"/>
          <w:sz w:val="24"/>
          <w:szCs w:val="24"/>
        </w:rPr>
        <w:t xml:space="preserve">The ten contacts per year that maintain a referral relationship at full probability require approximately sixty minutes per client per year. Not sixty minutes per week. Per year. The agent who has forty past clients and who invests sixty hours per year in maintaining those relationships is operating a referral engine. The agent who has forty past clients and who contacts them only when they have a specific reason — the market update that never gets sent, the check-in call that never happens — is leaving the referral probability to decay at approximately 15% per year.</w:t>
      </w:r>
    </w:p>
    <w:p>
      <w:pPr>
        <w:pBdr>
          <w:top w:val="single" w:color="C4A95A" w:sz="4" w:space="8"/>
          <w:bottom w:val="single" w:color="C4A95A" w:sz="4" w:space="8"/>
        </w:pBdr>
        <w:spacing w:before="240" w:after="240"/>
        <w:ind w:left="360" w:right="360"/>
        <w:jc w:val="center"/>
      </w:pPr>
      <w:r>
        <w:rPr>
          <w:rFonts w:ascii="Garamond" w:cs="Garamond" w:eastAsia="Garamond" w:hAnsi="Garamond"/>
          <w:b w:val="false"/>
          <w:bCs w:val="false"/>
          <w:i/>
          <w:iCs/>
          <w:color w:val="C4A95A"/>
          <w:sz w:val="28"/>
          <w:szCs w:val="28"/>
        </w:rPr>
        <w:t xml:space="preserve">The specific cost of your current referral gap — run it now.</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Your current referral rate:  </w:t>
      </w:r>
      <w:r>
        <w:rPr>
          <w:rFonts w:ascii="Garamond" w:cs="Garamond" w:eastAsia="Garamond" w:hAnsi="Garamond"/>
          <w:i/>
          <w:iCs/>
          <w:color w:val="555555"/>
          <w:sz w:val="22"/>
          <w:szCs w:val="22"/>
        </w:rPr>
        <w:t xml:space="preserve">what % of business came from referrals last year</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22%</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Capable referral rate:  </w:t>
      </w:r>
      <w:r>
        <w:rPr>
          <w:rFonts w:ascii="Garamond" w:cs="Garamond" w:eastAsia="Garamond" w:hAnsi="Garamond"/>
          <w:i/>
          <w:iCs/>
          <w:color w:val="555555"/>
          <w:sz w:val="22"/>
          <w:szCs w:val="22"/>
        </w:rPr>
        <w:t xml:space="preserve">with systematic maintenance</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65%</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Additional transactions the gap represents:  </w:t>
      </w:r>
      <w:r>
        <w:rPr>
          <w:rFonts w:ascii="Garamond" w:cs="Garamond" w:eastAsia="Garamond" w:hAnsi="Garamond"/>
          <w:i/>
          <w:iCs/>
          <w:color w:val="555555"/>
          <w:sz w:val="22"/>
          <w:szCs w:val="22"/>
        </w:rPr>
        <w:t xml:space="preserve">(65% − 22%) × annual volume</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5–8 per year</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Revenue value of the gap:  </w:t>
      </w:r>
      <w:r>
        <w:rPr>
          <w:rFonts w:ascii="Garamond" w:cs="Garamond" w:eastAsia="Garamond" w:hAnsi="Garamond"/>
          <w:i/>
          <w:iCs/>
          <w:color w:val="555555"/>
          <w:sz w:val="22"/>
          <w:szCs w:val="22"/>
        </w:rPr>
        <w:t xml:space="preserve">at average net commission</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$16,000–$26,000/year</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Investment required to close the gap:  </w:t>
      </w:r>
      <w:r>
        <w:rPr>
          <w:rFonts w:ascii="Garamond" w:cs="Garamond" w:eastAsia="Garamond" w:hAnsi="Garamond"/>
          <w:i/>
          <w:iCs/>
          <w:color w:val="555555"/>
          <w:sz w:val="22"/>
          <w:szCs w:val="22"/>
        </w:rPr>
        <w:t xml:space="preserve">60 hours/year × 40 clients</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60 hours</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Return on the 60 hours:  </w:t>
      </w:r>
      <w:r>
        <w:rPr>
          <w:rFonts w:ascii="Garamond" w:cs="Garamond" w:eastAsia="Garamond" w:hAnsi="Garamond"/>
          <w:i/>
          <w:iCs/>
          <w:color w:val="555555"/>
          <w:sz w:val="22"/>
          <w:szCs w:val="22"/>
        </w:rPr>
        <w:t xml:space="preserve">$16,000 ÷ 60 hours</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$267/hour</w:t>
      </w:r>
    </w:p>
    <w:p>
      <w:pPr>
        <w:spacing w:before="160" w:after="100"/>
        <w:jc w:val="both"/>
      </w:pPr>
      <w:r>
        <w:rPr>
          <w:rFonts w:ascii="Garamond" w:cs="Garamond" w:eastAsia="Garamond" w:hAnsi="Garamond"/>
          <w:b w:val="false"/>
          <w:bCs w:val="false"/>
          <w:i w:val="false"/>
          <w:iCs w:val="false"/>
          <w:color w:val="1A1A1A"/>
          <w:sz w:val="24"/>
          <w:szCs w:val="24"/>
        </w:rPr>
        <w:t xml:space="preserve">The sixty hours that close the referral gap are the highest-return hours available in the business. They produce more revenue per hour invested than any other activity available to the residential agent — more than additional prospecting, more than additional marketing, more than additional training. The reason most agents do not invest them is not that the return is insufficient. It is that the return is invisible until it arrives. The referral that does not come from the unmaintained relationship is invisible. The cost of its absence never appears on any income statement.</w:t>
      </w:r>
    </w:p>
    <w:p>
      <w:pPr>
        <w:spacing w:before="160" w:after="100"/>
        <w:jc w:val="both"/>
      </w:pPr>
      <w:r>
        <w:rPr>
          <w:rFonts w:ascii="Garamond" w:cs="Garamond" w:eastAsia="Garamond" w:hAnsi="Garamond"/>
          <w:b w:val="false"/>
          <w:bCs w:val="false"/>
          <w:i w:val="false"/>
          <w:iCs w:val="false"/>
          <w:color w:val="1A1A1A"/>
          <w:sz w:val="24"/>
          <w:szCs w:val="24"/>
        </w:rPr>
        <w:t xml:space="preserve">It is invisible, not non-existent. The calculation makes it visible.</w:t>
      </w:r>
    </w:p>
    <w:p>
      <w:pPr>
        <w:pBdr>
          <w:left w:val="single" w:color="C4A95A" w:sz="12" w:space="14"/>
        </w:pBdr>
        <w:spacing w:before="80" w:after="200"/>
        <w:ind w:left="280"/>
      </w:pPr>
      <w:r>
        <w:rPr>
          <w:rFonts w:ascii="Garamond" w:cs="Garamond" w:eastAsia="Garamond" w:hAnsi="Garamond"/>
          <w:b/>
          <w:bCs/>
          <w:color w:val="A8C4D4"/>
          <w:sz w:val="22"/>
          <w:szCs w:val="22"/>
        </w:rPr>
        <w:t xml:space="preserve">P +9  </w:t>
      </w:r>
      <w:r>
        <w:rPr>
          <w:rFonts w:ascii="Garamond" w:cs="Garamond" w:eastAsia="Garamond" w:hAnsi="Garamond"/>
          <w:b/>
          <w:bCs/>
          <w:color w:val="D4A8A8"/>
          <w:sz w:val="22"/>
          <w:szCs w:val="22"/>
        </w:rPr>
        <w:t xml:space="preserve">L +10  </w:t>
      </w:r>
      <w:r>
        <w:rPr>
          <w:rFonts w:ascii="Garamond" w:cs="Garamond" w:eastAsia="Garamond" w:hAnsi="Garamond"/>
          <w:b/>
          <w:bCs/>
          <w:color w:val="D4C4A8"/>
          <w:sz w:val="22"/>
          <w:szCs w:val="22"/>
        </w:rPr>
        <w:t xml:space="preserve">T -3  </w:t>
      </w:r>
      <w:r>
        <w:rPr>
          <w:rFonts w:ascii="Garamond" w:cs="Garamond" w:eastAsia="Garamond" w:hAnsi="Garamond"/>
          <w:i/>
          <w:iCs/>
          <w:color w:val="555555"/>
          <w:sz w:val="20"/>
          <w:szCs w:val="20"/>
        </w:rPr>
        <w:t xml:space="preserve">  Maintained relationship vs. unmaintained: same past client base, different career trajectories.</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pBdr>
          <w:bottom w:val="single" w:color="C4A95A" w:sz="8" w:space="8"/>
        </w:pBdr>
        <w:spacing w:before="0" w:after="200"/>
      </w:pPr>
      <w:r>
        <w:rPr>
          <w:rFonts w:ascii="Garamond" w:cs="Garamond" w:eastAsia="Garamond" w:hAnsi="Garamond"/>
          <w:b/>
          <w:bCs/>
          <w:color w:val="C4A95A"/>
          <w:sz w:val="52"/>
          <w:szCs w:val="52"/>
        </w:rPr>
        <w:t xml:space="preserve">3.  </w:t>
      </w:r>
      <w:r>
        <w:rPr>
          <w:rFonts w:ascii="Garamond" w:cs="Garamond" w:eastAsia="Garamond" w:hAnsi="Garamond"/>
          <w:b/>
          <w:bCs/>
          <w:color w:val="0A0A0A"/>
          <w:sz w:val="44"/>
          <w:szCs w:val="44"/>
        </w:rPr>
        <w:t xml:space="preserve">What Your Brokerage Actually Makes From You</w:t>
      </w:r>
    </w:p>
    <w:p>
      <w:pPr>
        <w:spacing w:before="160" w:after="100"/>
        <w:jc w:val="both"/>
      </w:pPr>
      <w:r>
        <w:rPr>
          <w:rFonts w:ascii="Garamond" w:cs="Garamond" w:eastAsia="Garamond" w:hAnsi="Garamond"/>
          <w:b w:val="false"/>
          <w:bCs w:val="false"/>
          <w:i w:val="false"/>
          <w:iCs w:val="false"/>
          <w:color w:val="1A1A1A"/>
          <w:sz w:val="24"/>
          <w:szCs w:val="24"/>
        </w:rPr>
        <w:t xml:space="preserve">The commission split is the number that every agent knows. What is less commonly calculated is the full picture of what the brokerage relationship costs and produces — from both sides of the arrangement.</w:t>
      </w:r>
    </w:p>
    <w:p>
      <w:pPr>
        <w:spacing w:before="160" w:after="100"/>
        <w:jc w:val="both"/>
      </w:pPr>
      <w:r>
        <w:rPr>
          <w:rFonts w:ascii="Garamond" w:cs="Garamond" w:eastAsia="Garamond" w:hAnsi="Garamond"/>
          <w:b w:val="false"/>
          <w:bCs w:val="false"/>
          <w:i w:val="false"/>
          <w:iCs w:val="false"/>
          <w:color w:val="1A1A1A"/>
          <w:sz w:val="24"/>
          <w:szCs w:val="24"/>
        </w:rPr>
        <w:t xml:space="preserve">The brokerage makes money in layers. The split is the most visible layer: if you earn $9,200 and the split is 70/30, the brokerage takes $2,760. But the brokerage model is more sophisticated than the split number suggests. The desk fee, if one exists, is income the brokerage receives regardless of your production. The transaction fee charged at closing is income the brokerage receives from every closed deal. The franchise royalty — in a franchised brokerage — is extracted from the commission before the split is calculated, reducing your effective gross. And the ancillary services — the mortgage partner, the title partner, the insurance partner that the brokerage has referral arrangements with — generate income for the brokerage from every client the agent refers.</w:t>
      </w:r>
    </w:p>
    <w:p>
      <w:pPr>
        <w:spacing w:before="160" w:after="100"/>
        <w:jc w:val="both"/>
      </w:pPr>
      <w:r>
        <w:rPr>
          <w:rFonts w:ascii="Garamond" w:cs="Garamond" w:eastAsia="Garamond" w:hAnsi="Garamond"/>
          <w:b w:val="false"/>
          <w:bCs w:val="false"/>
          <w:i w:val="false"/>
          <w:iCs w:val="false"/>
          <w:color w:val="1A1A1A"/>
          <w:sz w:val="24"/>
          <w:szCs w:val="24"/>
        </w:rPr>
        <w:t xml:space="preserve">None of this is hidden. All of it is in the documents you signed. The calculation is simply rarely run in its entirety.</w:t>
      </w:r>
    </w:p>
    <w:p>
      <w:pPr>
        <w:pBdr>
          <w:top w:val="single" w:color="C4A95A" w:sz="4" w:space="8"/>
          <w:bottom w:val="single" w:color="C4A95A" w:sz="4" w:space="8"/>
        </w:pBdr>
        <w:spacing w:before="240" w:after="240"/>
        <w:ind w:left="360" w:right="360"/>
        <w:jc w:val="center"/>
      </w:pPr>
      <w:r>
        <w:rPr>
          <w:rFonts w:ascii="Garamond" w:cs="Garamond" w:eastAsia="Garamond" w:hAnsi="Garamond"/>
          <w:b w:val="false"/>
          <w:bCs w:val="false"/>
          <w:i/>
          <w:iCs/>
          <w:color w:val="C4A95A"/>
          <w:sz w:val="28"/>
          <w:szCs w:val="28"/>
        </w:rPr>
        <w:t xml:space="preserve">The full cost of your brokerage relationship — not just the split.</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Gross commission:  </w:t>
      </w:r>
      <w:r>
        <w:rPr>
          <w:rFonts w:ascii="Garamond" w:cs="Garamond" w:eastAsia="Garamond" w:hAnsi="Garamond"/>
          <w:i/>
          <w:iCs/>
          <w:color w:val="555555"/>
          <w:sz w:val="22"/>
          <w:szCs w:val="22"/>
        </w:rPr>
        <w:t xml:space="preserve">on a $9,200 transaction</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$9,200</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Franchise royalty (if applicable):  </w:t>
      </w:r>
      <w:r>
        <w:rPr>
          <w:rFonts w:ascii="Garamond" w:cs="Garamond" w:eastAsia="Garamond" w:hAnsi="Garamond"/>
          <w:i/>
          <w:iCs/>
          <w:color w:val="555555"/>
          <w:sz w:val="22"/>
          <w:szCs w:val="22"/>
        </w:rPr>
        <w:t xml:space="preserve">typically 5–8% off the top</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 $552</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Your split on remaining:  </w:t>
      </w:r>
      <w:r>
        <w:rPr>
          <w:rFonts w:ascii="Garamond" w:cs="Garamond" w:eastAsia="Garamond" w:hAnsi="Garamond"/>
          <w:i/>
          <w:iCs/>
          <w:color w:val="555555"/>
          <w:sz w:val="22"/>
          <w:szCs w:val="22"/>
        </w:rPr>
        <w:t xml:space="preserve">at 70/30 on $8,648</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 $2,594</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Transaction fee:  </w:t>
      </w:r>
      <w:r>
        <w:rPr>
          <w:rFonts w:ascii="Garamond" w:cs="Garamond" w:eastAsia="Garamond" w:hAnsi="Garamond"/>
          <w:i/>
          <w:iCs/>
          <w:color w:val="555555"/>
          <w:sz w:val="22"/>
          <w:szCs w:val="22"/>
        </w:rPr>
        <w:t xml:space="preserve">typical range $200–$500</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 $350</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Monthly desk fee:  </w:t>
      </w:r>
      <w:r>
        <w:rPr>
          <w:rFonts w:ascii="Garamond" w:cs="Garamond" w:eastAsia="Garamond" w:hAnsi="Garamond"/>
          <w:i/>
          <w:iCs/>
          <w:color w:val="555555"/>
          <w:sz w:val="22"/>
          <w:szCs w:val="22"/>
        </w:rPr>
        <w:t xml:space="preserve">if applicable, allocated per transaction</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 $167</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Effective brokerage cost per transaction:  </w:t>
      </w:r>
      <w:r>
        <w:rPr>
          <w:rFonts w:ascii="Garamond" w:cs="Garamond" w:eastAsia="Garamond" w:hAnsi="Garamond"/>
          <w:i/>
          <w:iCs/>
          <w:color w:val="555555"/>
          <w:sz w:val="22"/>
          <w:szCs w:val="22"/>
        </w:rPr>
        <w:t xml:space="preserve">full calculation</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$3,663</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Effective agent retention:  </w:t>
      </w:r>
      <w:r>
        <w:rPr>
          <w:rFonts w:ascii="Garamond" w:cs="Garamond" w:eastAsia="Garamond" w:hAnsi="Garamond"/>
          <w:i/>
          <w:iCs/>
          <w:color w:val="555555"/>
          <w:sz w:val="22"/>
          <w:szCs w:val="22"/>
        </w:rPr>
        <w:t xml:space="preserve">from $9,200 gross</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60.2%</w:t>
      </w:r>
    </w:p>
    <w:p>
      <w:pPr>
        <w:spacing w:before="160" w:after="100"/>
        <w:jc w:val="both"/>
      </w:pPr>
      <w:r>
        <w:rPr>
          <w:rFonts w:ascii="Garamond" w:cs="Garamond" w:eastAsia="Garamond" w:hAnsi="Garamond"/>
          <w:b w:val="false"/>
          <w:bCs w:val="false"/>
          <w:i w:val="false"/>
          <w:iCs w:val="false"/>
          <w:color w:val="1A1A1A"/>
          <w:sz w:val="24"/>
          <w:szCs w:val="24"/>
        </w:rPr>
        <w:t xml:space="preserve">The effective retention rate — what you actually keep as a percentage of gross after all brokerage costs — is frequently 55–65% in fully-loaded brokerage arrangements, despite a quoted split of 70% or higher. The gap between the quoted split and the effective retention is the gap that is never discussed in the recruiting conversation.</w:t>
      </w:r>
    </w:p>
    <w:p>
      <w:pPr>
        <w:spacing w:before="160" w:after="100"/>
        <w:jc w:val="both"/>
      </w:pPr>
      <w:r>
        <w:rPr>
          <w:rFonts w:ascii="Garamond" w:cs="Garamond" w:eastAsia="Garamond" w:hAnsi="Garamond"/>
          <w:b w:val="false"/>
          <w:bCs w:val="false"/>
          <w:i w:val="false"/>
          <w:iCs w:val="false"/>
          <w:color w:val="1A1A1A"/>
          <w:sz w:val="24"/>
          <w:szCs w:val="24"/>
        </w:rPr>
        <w:t xml:space="preserve">This number is not presented to suggest the brokerage relationship is a bad deal. For many agents, especially early in their careers, the platform, training, brand, and infrastructure the brokerage provides are worth the full cost. The point is: know the full cost. The agent who knows the full cost can evaluate the relationship accurately and negotiate from accurate information rather than from the assumption that the quoted split is the real number.</w:t>
      </w:r>
    </w:p>
    <w:p>
      <w:pPr>
        <w:spacing w:before="160" w:after="100"/>
        <w:jc w:val="both"/>
      </w:pPr>
      <w:r>
        <w:rPr>
          <w:rFonts w:ascii="Garamond" w:cs="Garamond" w:eastAsia="Garamond" w:hAnsi="Garamond"/>
          <w:b w:val="false"/>
          <w:bCs w:val="false"/>
          <w:i w:val="false"/>
          <w:iCs w:val="false"/>
          <w:color w:val="1A1A1A"/>
          <w:sz w:val="24"/>
          <w:szCs w:val="24"/>
        </w:rPr>
        <w:t xml:space="preserve">The agent who knows their effective retention rate has one question the agent who does not know it cannot ask: is what I receive from this brokerage worth what I am paying for it? The question requires the number. The number requires the calculation.</w:t>
      </w:r>
    </w:p>
    <w:p>
      <w:pPr>
        <w:pBdr>
          <w:left w:val="single" w:color="C4A95A" w:sz="12" w:space="14"/>
        </w:pBdr>
        <w:spacing w:before="80" w:after="200"/>
        <w:ind w:left="280"/>
      </w:pPr>
      <w:r>
        <w:rPr>
          <w:rFonts w:ascii="Garamond" w:cs="Garamond" w:eastAsia="Garamond" w:hAnsi="Garamond"/>
          <w:b/>
          <w:bCs/>
          <w:color w:val="A8C4D4"/>
          <w:sz w:val="22"/>
          <w:szCs w:val="22"/>
        </w:rPr>
        <w:t xml:space="preserve">P +7  </w:t>
      </w:r>
      <w:r>
        <w:rPr>
          <w:rFonts w:ascii="Garamond" w:cs="Garamond" w:eastAsia="Garamond" w:hAnsi="Garamond"/>
          <w:b/>
          <w:bCs/>
          <w:color w:val="D4A8A8"/>
          <w:sz w:val="22"/>
          <w:szCs w:val="22"/>
        </w:rPr>
        <w:t xml:space="preserve">L +6  </w:t>
      </w:r>
      <w:r>
        <w:rPr>
          <w:rFonts w:ascii="Garamond" w:cs="Garamond" w:eastAsia="Garamond" w:hAnsi="Garamond"/>
          <w:b/>
          <w:bCs/>
          <w:color w:val="D4C4A8"/>
          <w:sz w:val="22"/>
          <w:szCs w:val="22"/>
        </w:rPr>
        <w:t xml:space="preserve">T -3  </w:t>
      </w:r>
      <w:r>
        <w:rPr>
          <w:rFonts w:ascii="Garamond" w:cs="Garamond" w:eastAsia="Garamond" w:hAnsi="Garamond"/>
          <w:i/>
          <w:iCs/>
          <w:color w:val="555555"/>
          <w:sz w:val="20"/>
          <w:szCs w:val="20"/>
        </w:rPr>
        <w:t xml:space="preserve">  Full-cost brokerage awareness vs. split-only awareness.</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pBdr>
          <w:bottom w:val="single" w:color="C4A95A" w:sz="8" w:space="8"/>
        </w:pBdr>
        <w:spacing w:before="0" w:after="200"/>
      </w:pPr>
      <w:r>
        <w:rPr>
          <w:rFonts w:ascii="Garamond" w:cs="Garamond" w:eastAsia="Garamond" w:hAnsi="Garamond"/>
          <w:b/>
          <w:bCs/>
          <w:color w:val="C4A95A"/>
          <w:sz w:val="52"/>
          <w:szCs w:val="52"/>
        </w:rPr>
        <w:t xml:space="preserve">4.  </w:t>
      </w:r>
      <w:r>
        <w:rPr>
          <w:rFonts w:ascii="Garamond" w:cs="Garamond" w:eastAsia="Garamond" w:hAnsi="Garamond"/>
          <w:b/>
          <w:bCs/>
          <w:color w:val="0A0A0A"/>
          <w:sz w:val="44"/>
          <w:szCs w:val="44"/>
        </w:rPr>
        <w:t xml:space="preserve">The Tax You Are Paying That You Are Not Required To Pay</w:t>
      </w:r>
    </w:p>
    <w:p>
      <w:pPr>
        <w:spacing w:before="160" w:after="100"/>
        <w:jc w:val="both"/>
      </w:pPr>
      <w:r>
        <w:rPr>
          <w:rFonts w:ascii="Garamond" w:cs="Garamond" w:eastAsia="Garamond" w:hAnsi="Garamond"/>
          <w:b w:val="false"/>
          <w:bCs w:val="false"/>
          <w:i w:val="false"/>
          <w:iCs w:val="false"/>
          <w:color w:val="1A1A1A"/>
          <w:sz w:val="24"/>
          <w:szCs w:val="24"/>
        </w:rPr>
        <w:t xml:space="preserve">The residential real estate agent who operates as a sole proprietor — which is the default status for every independent contractor agent who has not made a specific business structure election — is subject to the full 15.3% self-employment tax on their net profit in addition to federal and state income tax at their marginal rate. The combined effective tax rate for a sole proprietor earning $120,000 in net income is typically 34–42%. This is not a law that cannot be changed. It is a default that can be elected out of.</w:t>
      </w:r>
    </w:p>
    <w:p>
      <w:pPr>
        <w:spacing w:before="160" w:after="100"/>
        <w:jc w:val="both"/>
      </w:pPr>
      <w:r>
        <w:rPr>
          <w:rFonts w:ascii="Garamond" w:cs="Garamond" w:eastAsia="Garamond" w:hAnsi="Garamond"/>
          <w:b w:val="false"/>
          <w:bCs w:val="false"/>
          <w:i w:val="false"/>
          <w:iCs w:val="false"/>
          <w:color w:val="1A1A1A"/>
          <w:sz w:val="24"/>
          <w:szCs w:val="24"/>
        </w:rPr>
        <w:t xml:space="preserve">The S-corporation election converts the agency business from a sole proprietorship into an S-corp. The S-corp pays the agent a reasonable salary — subject to payroll taxes on the salary portion only — and distributes the remaining profit as a distribution that is not subject to the 15.3% self-employment tax. The savings, for an agent earning $80,000 or more in net profit, is typically $8,000–$18,000 per year. Every year. Without earning one additional dollar of commission.</w:t>
      </w:r>
    </w:p>
    <w:p>
      <w:pPr>
        <w:spacing w:before="160" w:after="100"/>
        <w:jc w:val="both"/>
      </w:pPr>
      <w:r>
        <w:rPr>
          <w:rFonts w:ascii="Garamond" w:cs="Garamond" w:eastAsia="Garamond" w:hAnsi="Garamond"/>
          <w:b w:val="false"/>
          <w:bCs w:val="false"/>
          <w:i w:val="false"/>
          <w:iCs w:val="false"/>
          <w:color w:val="1A1A1A"/>
          <w:sz w:val="24"/>
          <w:szCs w:val="24"/>
        </w:rPr>
        <w:t xml:space="preserve">The home office deduction, the SEP-IRA contribution, the mileage log, and the health insurance premium deduction add an additional $12,000–$22,000 in annual tax savings for the agent who implements all four. The total tax savings available through legal business structure and deduction optimization, for an agent earning $150,000 in GCI, is typically $25,000–$40,000 per year.</w:t>
      </w:r>
    </w:p>
    <w:p>
      <w:pPr>
        <w:pBdr>
          <w:top w:val="single" w:color="C4A95A" w:sz="4" w:space="8"/>
          <w:bottom w:val="single" w:color="C4A95A" w:sz="4" w:space="8"/>
        </w:pBdr>
        <w:spacing w:before="240" w:after="240"/>
        <w:ind w:left="360" w:right="360"/>
        <w:jc w:val="center"/>
      </w:pPr>
      <w:r>
        <w:rPr>
          <w:rFonts w:ascii="Garamond" w:cs="Garamond" w:eastAsia="Garamond" w:hAnsi="Garamond"/>
          <w:b w:val="false"/>
          <w:bCs w:val="false"/>
          <w:i/>
          <w:iCs/>
          <w:color w:val="C4A95A"/>
          <w:sz w:val="28"/>
          <w:szCs w:val="28"/>
        </w:rPr>
        <w:t xml:space="preserve">You have already earned this money. The question is whether you keep it.</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Sole proprietor tax on $150,000 GCI:  </w:t>
      </w:r>
      <w:r>
        <w:rPr>
          <w:rFonts w:ascii="Garamond" w:cs="Garamond" w:eastAsia="Garamond" w:hAnsi="Garamond"/>
          <w:i/>
          <w:iCs/>
          <w:color w:val="555555"/>
          <w:sz w:val="22"/>
          <w:szCs w:val="22"/>
        </w:rPr>
        <w:t xml:space="preserve">typical effective rate 36%</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$54,000</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Optimized structure tax on same income:  </w:t>
      </w:r>
      <w:r>
        <w:rPr>
          <w:rFonts w:ascii="Garamond" w:cs="Garamond" w:eastAsia="Garamond" w:hAnsi="Garamond"/>
          <w:i/>
          <w:iCs/>
          <w:color w:val="555555"/>
          <w:sz w:val="22"/>
          <w:szCs w:val="22"/>
        </w:rPr>
        <w:t xml:space="preserve">S-corp + full deductions, ~24%</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$36,000</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Annual tax savings available:  </w:t>
      </w:r>
      <w:r>
        <w:rPr>
          <w:rFonts w:ascii="Garamond" w:cs="Garamond" w:eastAsia="Garamond" w:hAnsi="Garamond"/>
          <w:i/>
          <w:iCs/>
          <w:color w:val="555555"/>
          <w:sz w:val="22"/>
          <w:szCs w:val="22"/>
        </w:rPr>
        <w:t xml:space="preserve">legal, achievable, requires one meeting</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$18,000</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10-year compound of $18,000/year at 7%:  </w:t>
      </w:r>
      <w:r>
        <w:rPr>
          <w:rFonts w:ascii="Garamond" w:cs="Garamond" w:eastAsia="Garamond" w:hAnsi="Garamond"/>
          <w:i/>
          <w:iCs/>
          <w:color w:val="555555"/>
          <w:sz w:val="22"/>
          <w:szCs w:val="22"/>
        </w:rPr>
        <w:t xml:space="preserve">invested rather than paid</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$248,000</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Cost of the optimization:  </w:t>
      </w:r>
      <w:r>
        <w:rPr>
          <w:rFonts w:ascii="Garamond" w:cs="Garamond" w:eastAsia="Garamond" w:hAnsi="Garamond"/>
          <w:i/>
          <w:iCs/>
          <w:color w:val="555555"/>
          <w:sz w:val="22"/>
          <w:szCs w:val="22"/>
        </w:rPr>
        <w:t xml:space="preserve">specialist CPA, annual fee</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$2,000–$3,500/year</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Net ROI of the optimization:  </w:t>
      </w:r>
      <w:r>
        <w:rPr>
          <w:rFonts w:ascii="Garamond" w:cs="Garamond" w:eastAsia="Garamond" w:hAnsi="Garamond"/>
          <w:i/>
          <w:iCs/>
          <w:color w:val="555555"/>
          <w:sz w:val="22"/>
          <w:szCs w:val="22"/>
        </w:rPr>
        <w:t xml:space="preserve">$18,000 saved minus $2,500 cost</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$15,500/year net</w:t>
      </w:r>
    </w:p>
    <w:p>
      <w:pPr>
        <w:spacing w:before="160" w:after="100"/>
        <w:jc w:val="both"/>
      </w:pPr>
      <w:r>
        <w:rPr>
          <w:rFonts w:ascii="Garamond" w:cs="Garamond" w:eastAsia="Garamond" w:hAnsi="Garamond"/>
          <w:b w:val="false"/>
          <w:bCs w:val="false"/>
          <w:i w:val="false"/>
          <w:iCs w:val="false"/>
          <w:color w:val="1A1A1A"/>
          <w:sz w:val="24"/>
          <w:szCs w:val="24"/>
        </w:rPr>
        <w:t xml:space="preserve">The $15,500 annual net savings from tax optimization does not require a single additional showing, a single additional client, or a single additional commission. It requires one meeting with a CPA who specializes in self-employed real estate professionals — not a generalist, a specialist — and the discipline to implement four decisions: the S-corp election, the home office deduction, the SEP-IRA contribution, and the mileage log.</w:t>
      </w:r>
    </w:p>
    <w:p>
      <w:pPr>
        <w:spacing w:before="160" w:after="100"/>
        <w:jc w:val="both"/>
      </w:pPr>
      <w:r>
        <w:rPr>
          <w:rFonts w:ascii="Garamond" w:cs="Garamond" w:eastAsia="Garamond" w:hAnsi="Garamond"/>
          <w:b w:val="false"/>
          <w:bCs w:val="false"/>
          <w:i w:val="false"/>
          <w:iCs w:val="false"/>
          <w:color w:val="1A1A1A"/>
          <w:sz w:val="24"/>
          <w:szCs w:val="24"/>
        </w:rPr>
        <w:t xml:space="preserve">Most agents have not taken these four steps. Not because they are complex — each takes less than a day to implement. Because no one in the real estate industry has a financial incentive to tell agents about them. The brokerage benefits when the agent stays. The franchise benefits when the agent stays. The coaching program benefits when the agent stays. No one benefits from the agent understanding the full financial picture of their business — except the agent.</w:t>
      </w:r>
    </w:p>
    <w:p>
      <w:pPr>
        <w:pBdr>
          <w:left w:val="single" w:color="C4A95A" w:sz="12" w:space="14"/>
        </w:pBdr>
        <w:spacing w:before="80" w:after="200"/>
        <w:ind w:left="280"/>
      </w:pPr>
      <w:r>
        <w:rPr>
          <w:rFonts w:ascii="Garamond" w:cs="Garamond" w:eastAsia="Garamond" w:hAnsi="Garamond"/>
          <w:b/>
          <w:bCs/>
          <w:color w:val="A8C4D4"/>
          <w:sz w:val="22"/>
          <w:szCs w:val="22"/>
        </w:rPr>
        <w:t xml:space="preserve">P +9  </w:t>
      </w:r>
      <w:r>
        <w:rPr>
          <w:rFonts w:ascii="Garamond" w:cs="Garamond" w:eastAsia="Garamond" w:hAnsi="Garamond"/>
          <w:b/>
          <w:bCs/>
          <w:color w:val="D4A8A8"/>
          <w:sz w:val="22"/>
          <w:szCs w:val="22"/>
        </w:rPr>
        <w:t xml:space="preserve">L +6  </w:t>
      </w:r>
      <w:r>
        <w:rPr>
          <w:rFonts w:ascii="Garamond" w:cs="Garamond" w:eastAsia="Garamond" w:hAnsi="Garamond"/>
          <w:b/>
          <w:bCs/>
          <w:color w:val="D4C4A8"/>
          <w:sz w:val="22"/>
          <w:szCs w:val="22"/>
        </w:rPr>
        <w:t xml:space="preserve">T -3  </w:t>
      </w:r>
      <w:r>
        <w:rPr>
          <w:rFonts w:ascii="Garamond" w:cs="Garamond" w:eastAsia="Garamond" w:hAnsi="Garamond"/>
          <w:i/>
          <w:iCs/>
          <w:color w:val="555555"/>
          <w:sz w:val="20"/>
          <w:szCs w:val="20"/>
        </w:rPr>
        <w:t xml:space="preserve">  Tax-optimized agent vs. sole-proprietor default: same income, different keep.</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pBdr>
          <w:bottom w:val="single" w:color="C4A95A" w:sz="8" w:space="8"/>
        </w:pBdr>
        <w:spacing w:before="0" w:after="200"/>
      </w:pPr>
      <w:r>
        <w:rPr>
          <w:rFonts w:ascii="Garamond" w:cs="Garamond" w:eastAsia="Garamond" w:hAnsi="Garamond"/>
          <w:b/>
          <w:bCs/>
          <w:color w:val="C4A95A"/>
          <w:sz w:val="52"/>
          <w:szCs w:val="52"/>
        </w:rPr>
        <w:t xml:space="preserve">5.  </w:t>
      </w:r>
      <w:r>
        <w:rPr>
          <w:rFonts w:ascii="Garamond" w:cs="Garamond" w:eastAsia="Garamond" w:hAnsi="Garamond"/>
          <w:b/>
          <w:bCs/>
          <w:color w:val="0A0A0A"/>
          <w:sz w:val="44"/>
          <w:szCs w:val="44"/>
        </w:rPr>
        <w:t xml:space="preserve">The Cost of Your Worst Client This Year</w:t>
      </w:r>
    </w:p>
    <w:p>
      <w:pPr>
        <w:spacing w:before="160" w:after="100"/>
        <w:jc w:val="both"/>
      </w:pPr>
      <w:r>
        <w:rPr>
          <w:rFonts w:ascii="Garamond" w:cs="Garamond" w:eastAsia="Garamond" w:hAnsi="Garamond"/>
          <w:b w:val="false"/>
          <w:bCs w:val="false"/>
          <w:i w:val="false"/>
          <w:iCs w:val="false"/>
          <w:color w:val="1A1A1A"/>
          <w:sz w:val="24"/>
          <w:szCs w:val="24"/>
        </w:rPr>
        <w:t xml:space="preserve">There is one client in your business this year — possibly two — who is costing your career more than they are producing. Not in commission. In everything else. In the hours of management the relationship requires. In the cognitive bandwidth consumed by the ongoing gap between their expectations and what the market will actually produce. In the specific damage to your professional reputation with cooperating agents who have experienced the transaction. In the referrals that did not come from the time and attention you did not have because this client was consuming it.</w:t>
      </w:r>
    </w:p>
    <w:p>
      <w:pPr>
        <w:spacing w:before="160" w:after="100"/>
        <w:jc w:val="both"/>
      </w:pPr>
      <w:r>
        <w:rPr>
          <w:rFonts w:ascii="Garamond" w:cs="Garamond" w:eastAsia="Garamond" w:hAnsi="Garamond"/>
          <w:b w:val="false"/>
          <w:bCs w:val="false"/>
          <w:i w:val="false"/>
          <w:iCs w:val="false"/>
          <w:color w:val="1A1A1A"/>
          <w:sz w:val="24"/>
          <w:szCs w:val="24"/>
        </w:rPr>
        <w:t xml:space="preserve">Most agents have never run the full cost calculation on a single difficult client relationship because the calculation requires acknowledging something uncomfortable: that accepting the client was a mistake, and that the mistake was preventable. The aspiration price that the seller refused to adjust. The buyer whose offer budget could not match their property expectations. The client whose conduct in the transaction created specific professional liability that will manifest in future transactions you cannot yet identify.</w:t>
      </w:r>
    </w:p>
    <w:p>
      <w:pPr>
        <w:spacing w:before="160" w:after="100"/>
        <w:jc w:val="both"/>
      </w:pPr>
      <w:r>
        <w:rPr>
          <w:rFonts w:ascii="Garamond" w:cs="Garamond" w:eastAsia="Garamond" w:hAnsi="Garamond"/>
          <w:b w:val="false"/>
          <w:bCs w:val="false"/>
          <w:i w:val="false"/>
          <w:iCs w:val="false"/>
          <w:color w:val="1A1A1A"/>
          <w:sz w:val="24"/>
          <w:szCs w:val="24"/>
        </w:rPr>
        <w:t xml:space="preserve">The full cost calculation of a difficult client relationship has five components. The direct time investment — the hours above the standard transaction investment that the difficult relationship required. The opportunity cost of those hours — what the practice produces per hour when deployed on the right client relationships versus the difficult ones. The commission impact — the full commission received versus the commission that would have been received on a correctly-priced listing that sold in fourteen days. The referral impact — the probability that this client generates a referral and the present value of that probability versus the average client. And the professional market impact — the specific effect on your professional reputation of the transaction that cooperating agents observed.</w:t>
      </w:r>
    </w:p>
    <w:p>
      <w:pPr>
        <w:pBdr>
          <w:top w:val="single" w:color="C4A95A" w:sz="4" w:space="8"/>
          <w:bottom w:val="single" w:color="C4A95A" w:sz="4" w:space="8"/>
        </w:pBdr>
        <w:spacing w:before="240" w:after="240"/>
        <w:ind w:left="360" w:right="360"/>
        <w:jc w:val="center"/>
      </w:pPr>
      <w:r>
        <w:rPr>
          <w:rFonts w:ascii="Garamond" w:cs="Garamond" w:eastAsia="Garamond" w:hAnsi="Garamond"/>
          <w:b w:val="false"/>
          <w:bCs w:val="false"/>
          <w:i/>
          <w:iCs/>
          <w:color w:val="C4A95A"/>
          <w:sz w:val="28"/>
          <w:szCs w:val="28"/>
        </w:rPr>
        <w:t xml:space="preserve">The client who was wrong for the relationship cost you more than they paid you.</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Hours above standard on difficult client:  </w:t>
      </w:r>
      <w:r>
        <w:rPr>
          <w:rFonts w:ascii="Garamond" w:cs="Garamond" w:eastAsia="Garamond" w:hAnsi="Garamond"/>
          <w:i/>
          <w:iCs/>
          <w:color w:val="555555"/>
          <w:sz w:val="22"/>
          <w:szCs w:val="22"/>
        </w:rPr>
        <w:t xml:space="preserve">conservative estimate</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32 hours</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Opportunity cost of 32 hours:  </w:t>
      </w:r>
      <w:r>
        <w:rPr>
          <w:rFonts w:ascii="Garamond" w:cs="Garamond" w:eastAsia="Garamond" w:hAnsi="Garamond"/>
          <w:i/>
          <w:iCs/>
          <w:color w:val="555555"/>
          <w:sz w:val="22"/>
          <w:szCs w:val="22"/>
        </w:rPr>
        <w:t xml:space="preserve">at $267/hr referral-building rate</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 $8,544</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Commission lost to overpricing delay:  </w:t>
      </w:r>
      <w:r>
        <w:rPr>
          <w:rFonts w:ascii="Garamond" w:cs="Garamond" w:eastAsia="Garamond" w:hAnsi="Garamond"/>
          <w:i/>
          <w:iCs/>
          <w:color w:val="555555"/>
          <w:sz w:val="22"/>
          <w:szCs w:val="22"/>
        </w:rPr>
        <w:t xml:space="preserve">two price reductions, extended DOM</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 $1,200</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Referral probability penalty:  </w:t>
      </w:r>
      <w:r>
        <w:rPr>
          <w:rFonts w:ascii="Garamond" w:cs="Garamond" w:eastAsia="Garamond" w:hAnsi="Garamond"/>
          <w:i/>
          <w:iCs/>
          <w:color w:val="555555"/>
          <w:sz w:val="22"/>
          <w:szCs w:val="22"/>
        </w:rPr>
        <w:t xml:space="preserve">difficult client vs. served client</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 $2,850</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Professional market impact:  </w:t>
      </w:r>
      <w:r>
        <w:rPr>
          <w:rFonts w:ascii="Garamond" w:cs="Garamond" w:eastAsia="Garamond" w:hAnsi="Garamond"/>
          <w:i/>
          <w:iCs/>
          <w:color w:val="555555"/>
          <w:sz w:val="22"/>
          <w:szCs w:val="22"/>
        </w:rPr>
        <w:t xml:space="preserve">one cooperating agent's permanent read</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unquantified</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True cost of the wrong client:  </w:t>
      </w:r>
      <w:r>
        <w:rPr>
          <w:rFonts w:ascii="Garamond" w:cs="Garamond" w:eastAsia="Garamond" w:hAnsi="Garamond"/>
          <w:i/>
          <w:iCs/>
          <w:color w:val="555555"/>
          <w:sz w:val="22"/>
          <w:szCs w:val="22"/>
        </w:rPr>
        <w:t xml:space="preserve">direct and indirect</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$12,594+</w:t>
      </w:r>
    </w:p>
    <w:p>
      <w:pPr>
        <w:spacing w:before="160" w:after="100"/>
        <w:jc w:val="both"/>
      </w:pPr>
      <w:r>
        <w:rPr>
          <w:rFonts w:ascii="Garamond" w:cs="Garamond" w:eastAsia="Garamond" w:hAnsi="Garamond"/>
          <w:b w:val="false"/>
          <w:bCs w:val="false"/>
          <w:i w:val="false"/>
          <w:iCs w:val="false"/>
          <w:color w:val="1A1A1A"/>
          <w:sz w:val="24"/>
          <w:szCs w:val="24"/>
        </w:rPr>
        <w:t xml:space="preserve">The client relationship that produced $9,200 in gross commission and $12,594 in total cost produced a negative net True Value. The transaction that felt like income was, in the full accounting, a loss. Not a small loss — a loss larger than the commission.</w:t>
      </w:r>
    </w:p>
    <w:p>
      <w:pPr>
        <w:spacing w:before="160" w:after="100"/>
        <w:jc w:val="both"/>
      </w:pPr>
      <w:r>
        <w:rPr>
          <w:rFonts w:ascii="Garamond" w:cs="Garamond" w:eastAsia="Garamond" w:hAnsi="Garamond"/>
          <w:b w:val="false"/>
          <w:bCs w:val="false"/>
          <w:i w:val="false"/>
          <w:iCs w:val="false"/>
          <w:color w:val="1A1A1A"/>
          <w:sz w:val="24"/>
          <w:szCs w:val="24"/>
        </w:rPr>
        <w:t xml:space="preserve">The professional practice that prevents this outcome is available in Estate XXIII of the PLT doctrine: the decline as position. The agent who declines the wrong client — who says honestly, "the price you need is not the price the market will produce, and I cannot serve you at that price" — is not losing a commission. They are preventing a loss that is larger than the commission they declined.</w:t>
      </w:r>
    </w:p>
    <w:p>
      <w:pPr>
        <w:spacing w:before="160" w:after="100"/>
        <w:jc w:val="both"/>
      </w:pPr>
      <w:r>
        <w:rPr>
          <w:rFonts w:ascii="Garamond" w:cs="Garamond" w:eastAsia="Garamond" w:hAnsi="Garamond"/>
          <w:b w:val="false"/>
          <w:bCs w:val="false"/>
          <w:i w:val="false"/>
          <w:iCs w:val="false"/>
          <w:color w:val="1A1A1A"/>
          <w:sz w:val="24"/>
          <w:szCs w:val="24"/>
        </w:rPr>
        <w:t xml:space="preserve">The decline is only available to the agent who does not need the transaction. The agent who needs the transaction cannot decline it. Which means the first calculation — the net per transaction and the financial runway it builds — is the foundation that makes every other calculation actionable. The surplus makes the decline possible. The decline makes the surplus permanent.</w:t>
      </w:r>
    </w:p>
    <w:p>
      <w:pPr>
        <w:pBdr>
          <w:left w:val="single" w:color="C4A95A" w:sz="12" w:space="14"/>
        </w:pBdr>
        <w:spacing w:before="80" w:after="200"/>
        <w:ind w:left="280"/>
      </w:pPr>
      <w:r>
        <w:rPr>
          <w:rFonts w:ascii="Garamond" w:cs="Garamond" w:eastAsia="Garamond" w:hAnsi="Garamond"/>
          <w:b/>
          <w:bCs/>
          <w:color w:val="A8C4D4"/>
          <w:sz w:val="22"/>
          <w:szCs w:val="22"/>
        </w:rPr>
        <w:t xml:space="preserve">P +8  </w:t>
      </w:r>
      <w:r>
        <w:rPr>
          <w:rFonts w:ascii="Garamond" w:cs="Garamond" w:eastAsia="Garamond" w:hAnsi="Garamond"/>
          <w:b/>
          <w:bCs/>
          <w:color w:val="D4A8A8"/>
          <w:sz w:val="22"/>
          <w:szCs w:val="22"/>
        </w:rPr>
        <w:t xml:space="preserve">L +8  </w:t>
      </w:r>
      <w:r>
        <w:rPr>
          <w:rFonts w:ascii="Garamond" w:cs="Garamond" w:eastAsia="Garamond" w:hAnsi="Garamond"/>
          <w:b/>
          <w:bCs/>
          <w:color w:val="D4C4A8"/>
          <w:sz w:val="22"/>
          <w:szCs w:val="22"/>
        </w:rPr>
        <w:t xml:space="preserve">T -3  </w:t>
      </w:r>
      <w:r>
        <w:rPr>
          <w:rFonts w:ascii="Garamond" w:cs="Garamond" w:eastAsia="Garamond" w:hAnsi="Garamond"/>
          <w:i/>
          <w:iCs/>
          <w:color w:val="555555"/>
          <w:sz w:val="20"/>
          <w:szCs w:val="20"/>
        </w:rPr>
        <w:t xml:space="preserve">  The decline vs. the acceptance of the wrong client. Same listing opportunity.</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pBdr>
          <w:bottom w:val="single" w:color="C4A95A" w:sz="8" w:space="8"/>
        </w:pBdr>
        <w:spacing w:before="0" w:after="200"/>
      </w:pPr>
      <w:r>
        <w:rPr>
          <w:rFonts w:ascii="Garamond" w:cs="Garamond" w:eastAsia="Garamond" w:hAnsi="Garamond"/>
          <w:b/>
          <w:bCs/>
          <w:color w:val="C4A95A"/>
          <w:sz w:val="52"/>
          <w:szCs w:val="52"/>
        </w:rPr>
        <w:t xml:space="preserve">6.  </w:t>
      </w:r>
      <w:r>
        <w:rPr>
          <w:rFonts w:ascii="Garamond" w:cs="Garamond" w:eastAsia="Garamond" w:hAnsi="Garamond"/>
          <w:b/>
          <w:bCs/>
          <w:color w:val="0A0A0A"/>
          <w:sz w:val="44"/>
          <w:szCs w:val="44"/>
        </w:rPr>
        <w:t xml:space="preserve">What Your Database Is Actually Worth</w:t>
      </w:r>
    </w:p>
    <w:p>
      <w:pPr>
        <w:spacing w:before="160" w:after="100"/>
        <w:jc w:val="both"/>
      </w:pPr>
      <w:r>
        <w:rPr>
          <w:rFonts w:ascii="Garamond" w:cs="Garamond" w:eastAsia="Garamond" w:hAnsi="Garamond"/>
          <w:b w:val="false"/>
          <w:bCs w:val="false"/>
          <w:i w:val="false"/>
          <w:iCs w:val="false"/>
          <w:color w:val="1A1A1A"/>
          <w:sz w:val="24"/>
          <w:szCs w:val="24"/>
        </w:rPr>
        <w:t xml:space="preserve">Every agent has a database. A contact list, a CRM, a spreadsheet, a pile of business cards in a drawer that represents the accumulated professional relationships of the career. This database is either the most valuable asset in the business or an inert list of names — and the difference between these two outcomes is determined by one variable: whether the database is maintained with the systematic contact practice that converts a contact list into a referral engine.</w:t>
      </w:r>
    </w:p>
    <w:p>
      <w:pPr>
        <w:spacing w:before="160" w:after="100"/>
        <w:jc w:val="both"/>
      </w:pPr>
      <w:r>
        <w:rPr>
          <w:rFonts w:ascii="Garamond" w:cs="Garamond" w:eastAsia="Garamond" w:hAnsi="Garamond"/>
          <w:b w:val="false"/>
          <w:bCs w:val="false"/>
          <w:i w:val="false"/>
          <w:iCs w:val="false"/>
          <w:color w:val="1A1A1A"/>
          <w:sz w:val="24"/>
          <w:szCs w:val="24"/>
        </w:rPr>
        <w:t xml:space="preserve">The present value of a maintained past-client database is one of the most underestimated financial assets in residential real estate. The calculation is specific: the number of past clients in the database, multiplied by the probability that each produces a referral within three years (approximately 65% for a maintained relationship, 11% for an unmaintained one), multiplied by the average net commission from a referred transaction.</w:t>
      </w:r>
    </w:p>
    <w:p>
      <w:pPr>
        <w:pBdr>
          <w:top w:val="single" w:color="C4A95A" w:sz="4" w:space="8"/>
          <w:bottom w:val="single" w:color="C4A95A" w:sz="4" w:space="8"/>
        </w:pBdr>
        <w:spacing w:before="240" w:after="240"/>
        <w:ind w:left="360" w:right="360"/>
        <w:jc w:val="center"/>
      </w:pPr>
      <w:r>
        <w:rPr>
          <w:rFonts w:ascii="Garamond" w:cs="Garamond" w:eastAsia="Garamond" w:hAnsi="Garamond"/>
          <w:b w:val="false"/>
          <w:bCs w:val="false"/>
          <w:i/>
          <w:iCs/>
          <w:color w:val="C4A95A"/>
          <w:sz w:val="28"/>
          <w:szCs w:val="28"/>
        </w:rPr>
        <w:t xml:space="preserve">Your database is not a list. It is an asset. Calculate its value — then calculate whether you are managing it like one.</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Past clients in typical 5-year database:  </w:t>
      </w:r>
      <w:r>
        <w:rPr>
          <w:rFonts w:ascii="Garamond" w:cs="Garamond" w:eastAsia="Garamond" w:hAnsi="Garamond"/>
          <w:i/>
          <w:iCs/>
          <w:color w:val="555555"/>
          <w:sz w:val="22"/>
          <w:szCs w:val="22"/>
        </w:rPr>
        <w:t xml:space="preserve">conservative estimate</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60 clients</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Maintained referral probability (3-year):  </w:t>
      </w:r>
      <w:r>
        <w:rPr>
          <w:rFonts w:ascii="Garamond" w:cs="Garamond" w:eastAsia="Garamond" w:hAnsi="Garamond"/>
          <w:i/>
          <w:iCs/>
          <w:color w:val="555555"/>
          <w:sz w:val="22"/>
          <w:szCs w:val="22"/>
        </w:rPr>
        <w:t xml:space="preserve">65% per client</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39 referrals</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Unmaintained referral probability (3-year):  </w:t>
      </w:r>
      <w:r>
        <w:rPr>
          <w:rFonts w:ascii="Garamond" w:cs="Garamond" w:eastAsia="Garamond" w:hAnsi="Garamond"/>
          <w:i/>
          <w:iCs/>
          <w:color w:val="555555"/>
          <w:sz w:val="22"/>
          <w:szCs w:val="22"/>
        </w:rPr>
        <w:t xml:space="preserve">11% per client</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6.6 referrals</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Referral gap over 3 years:  </w:t>
      </w:r>
      <w:r>
        <w:rPr>
          <w:rFonts w:ascii="Garamond" w:cs="Garamond" w:eastAsia="Garamond" w:hAnsi="Garamond"/>
          <w:i/>
          <w:iCs/>
          <w:color w:val="555555"/>
          <w:sz w:val="22"/>
          <w:szCs w:val="22"/>
        </w:rPr>
        <w:t xml:space="preserve">32.4 additional referrals from maintenance</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32 transactions</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Net commission per referred transaction:  </w:t>
      </w:r>
      <w:r>
        <w:rPr>
          <w:rFonts w:ascii="Garamond" w:cs="Garamond" w:eastAsia="Garamond" w:hAnsi="Garamond"/>
          <w:i/>
          <w:iCs/>
          <w:color w:val="555555"/>
          <w:sz w:val="22"/>
          <w:szCs w:val="22"/>
        </w:rPr>
        <w:t xml:space="preserve">after all costs</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$3,800</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3-year value of the maintenance gap:  </w:t>
      </w:r>
      <w:r>
        <w:rPr>
          <w:rFonts w:ascii="Garamond" w:cs="Garamond" w:eastAsia="Garamond" w:hAnsi="Garamond"/>
          <w:i/>
          <w:iCs/>
          <w:color w:val="555555"/>
          <w:sz w:val="22"/>
          <w:szCs w:val="22"/>
        </w:rPr>
        <w:t xml:space="preserve">32 transactions × $3,800</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$121,600</w:t>
      </w:r>
    </w:p>
    <w:p>
      <w:pPr>
        <w:spacing w:before="160" w:after="100"/>
        <w:jc w:val="both"/>
      </w:pPr>
      <w:r>
        <w:rPr>
          <w:rFonts w:ascii="Garamond" w:cs="Garamond" w:eastAsia="Garamond" w:hAnsi="Garamond"/>
          <w:b w:val="false"/>
          <w:bCs w:val="false"/>
          <w:i w:val="false"/>
          <w:iCs w:val="false"/>
          <w:color w:val="1A1A1A"/>
          <w:sz w:val="24"/>
          <w:szCs w:val="24"/>
        </w:rPr>
        <w:t xml:space="preserve">The 60-client maintained database is worth $121,600 more over three years than the same database unmaintained. This is not a projection — it is the arithmetic application of documented referral rate research to a specific database size. The $121,600 is not new clients, new marketing, or new skills. It is the value that exists in the relationships you already have, unlocked by the practice of maintaining them.</w:t>
      </w:r>
    </w:p>
    <w:p>
      <w:pPr>
        <w:spacing w:before="160" w:after="100"/>
        <w:jc w:val="both"/>
      </w:pPr>
      <w:r>
        <w:rPr>
          <w:rFonts w:ascii="Garamond" w:cs="Garamond" w:eastAsia="Garamond" w:hAnsi="Garamond"/>
          <w:b w:val="false"/>
          <w:bCs w:val="false"/>
          <w:i w:val="false"/>
          <w:iCs w:val="false"/>
          <w:color w:val="1A1A1A"/>
          <w:sz w:val="24"/>
          <w:szCs w:val="24"/>
        </w:rPr>
        <w:t xml:space="preserve">The annual investment to maintain a 60-client database at full referral probability is approximately 90 hours — sixty minutes per client per year, allocated across ten specific contacts. At $3,800 net per referred transaction, the maintained database produces $40,533 per year in additional net commission from the referral differential alone. The 90-hour investment returns $451 per hour.</w:t>
      </w:r>
    </w:p>
    <w:p>
      <w:pPr>
        <w:spacing w:before="160" w:after="100"/>
        <w:jc w:val="both"/>
      </w:pPr>
      <w:r>
        <w:rPr>
          <w:rFonts w:ascii="Garamond" w:cs="Garamond" w:eastAsia="Garamond" w:hAnsi="Garamond"/>
          <w:b w:val="false"/>
          <w:bCs w:val="false"/>
          <w:i w:val="false"/>
          <w:iCs w:val="false"/>
          <w:color w:val="1A1A1A"/>
          <w:sz w:val="24"/>
          <w:szCs w:val="24"/>
        </w:rPr>
        <w:t xml:space="preserve">Run this calculation on your specific database. The number that results is not a motivational abstraction. It is the specific annual revenue cost of not picking up the phone.</w:t>
      </w:r>
    </w:p>
    <w:p>
      <w:pPr>
        <w:pBdr>
          <w:left w:val="single" w:color="C4A95A" w:sz="12" w:space="14"/>
        </w:pBdr>
        <w:spacing w:before="80" w:after="200"/>
        <w:ind w:left="280"/>
      </w:pPr>
      <w:r>
        <w:rPr>
          <w:rFonts w:ascii="Garamond" w:cs="Garamond" w:eastAsia="Garamond" w:hAnsi="Garamond"/>
          <w:b/>
          <w:bCs/>
          <w:color w:val="A8C4D4"/>
          <w:sz w:val="22"/>
          <w:szCs w:val="22"/>
        </w:rPr>
        <w:t xml:space="preserve">P +10  </w:t>
      </w:r>
      <w:r>
        <w:rPr>
          <w:rFonts w:ascii="Garamond" w:cs="Garamond" w:eastAsia="Garamond" w:hAnsi="Garamond"/>
          <w:b/>
          <w:bCs/>
          <w:color w:val="D4A8A8"/>
          <w:sz w:val="22"/>
          <w:szCs w:val="22"/>
        </w:rPr>
        <w:t xml:space="preserve">L +9  </w:t>
      </w:r>
      <w:r>
        <w:rPr>
          <w:rFonts w:ascii="Garamond" w:cs="Garamond" w:eastAsia="Garamond" w:hAnsi="Garamond"/>
          <w:b/>
          <w:bCs/>
          <w:color w:val="D4C4A8"/>
          <w:sz w:val="22"/>
          <w:szCs w:val="22"/>
        </w:rPr>
        <w:t xml:space="preserve">T -3  </w:t>
      </w:r>
      <w:r>
        <w:rPr>
          <w:rFonts w:ascii="Garamond" w:cs="Garamond" w:eastAsia="Garamond" w:hAnsi="Garamond"/>
          <w:i/>
          <w:iCs/>
          <w:color w:val="555555"/>
          <w:sz w:val="20"/>
          <w:szCs w:val="20"/>
        </w:rPr>
        <w:t xml:space="preserve">  Maintained database vs. unmaintained database: same clients, same relationships.</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pBdr>
          <w:bottom w:val="single" w:color="C4A95A" w:sz="8" w:space="8"/>
        </w:pBdr>
        <w:spacing w:before="0" w:after="200"/>
      </w:pPr>
      <w:r>
        <w:rPr>
          <w:rFonts w:ascii="Garamond" w:cs="Garamond" w:eastAsia="Garamond" w:hAnsi="Garamond"/>
          <w:b/>
          <w:bCs/>
          <w:color w:val="C4A95A"/>
          <w:sz w:val="52"/>
          <w:szCs w:val="52"/>
        </w:rPr>
        <w:t xml:space="preserve">7.  </w:t>
      </w:r>
      <w:r>
        <w:rPr>
          <w:rFonts w:ascii="Garamond" w:cs="Garamond" w:eastAsia="Garamond" w:hAnsi="Garamond"/>
          <w:b/>
          <w:bCs/>
          <w:color w:val="0A0A0A"/>
          <w:sz w:val="44"/>
          <w:szCs w:val="44"/>
        </w:rPr>
        <w:t xml:space="preserve">Your Runway — The Number That Determines Everything Else</w:t>
      </w:r>
    </w:p>
    <w:p>
      <w:pPr>
        <w:spacing w:before="160" w:after="100"/>
        <w:jc w:val="both"/>
      </w:pPr>
      <w:r>
        <w:rPr>
          <w:rFonts w:ascii="Garamond" w:cs="Garamond" w:eastAsia="Garamond" w:hAnsi="Garamond"/>
          <w:b w:val="false"/>
          <w:bCs w:val="false"/>
          <w:i w:val="false"/>
          <w:iCs w:val="false"/>
          <w:color w:val="1A1A1A"/>
          <w:sz w:val="24"/>
          <w:szCs w:val="24"/>
        </w:rPr>
        <w:t xml:space="preserve">There is one number that determines the quality of every professional interaction you will have in the next ninety days. It is not your production ranking. It is not your marketing budget. It is not your years of experience or your market share statistics or the quality of your most recent listing presentation.</w:t>
      </w:r>
    </w:p>
    <w:p>
      <w:pPr>
        <w:spacing w:before="160" w:after="100"/>
        <w:jc w:val="both"/>
      </w:pPr>
      <w:r>
        <w:rPr>
          <w:rFonts w:ascii="Garamond" w:cs="Garamond" w:eastAsia="Garamond" w:hAnsi="Garamond"/>
          <w:b w:val="false"/>
          <w:bCs w:val="false"/>
          <w:i w:val="false"/>
          <w:iCs w:val="false"/>
          <w:color w:val="1A1A1A"/>
          <w:sz w:val="24"/>
          <w:szCs w:val="24"/>
        </w:rPr>
        <w:t xml:space="preserve">It is your liquid financial runway: the number of months you can operate at your current expense level without receiving a commission. This number — expressed as a count of months, calculated from actual liquid reserves only — determines your signal quality in every client interaction, your ability to decline the wrong client, your willingness to tell the seller the price that is actually true rather than the price they want to hear, and your capacity to invest in the practices that produce the career as opposed to the transactions that fund the next month.</w:t>
      </w:r>
    </w:p>
    <w:p>
      <w:pPr>
        <w:spacing w:before="160" w:after="100"/>
        <w:jc w:val="both"/>
      </w:pPr>
      <w:r>
        <w:rPr>
          <w:rFonts w:ascii="Garamond" w:cs="Garamond" w:eastAsia="Garamond" w:hAnsi="Garamond"/>
          <w:b w:val="false"/>
          <w:bCs w:val="false"/>
          <w:i w:val="false"/>
          <w:iCs w:val="false"/>
          <w:color w:val="1A1A1A"/>
          <w:sz w:val="24"/>
          <w:szCs w:val="24"/>
        </w:rPr>
        <w:t xml:space="preserve">The agent with two months of runway and the agent with eight months of runway are not having the same professional conversations. They are not making the same professional decisions. They are not building the same professional reputation. They are operating in the same market with the same skills but from fundamentally different psychological and financial positions — and the clients they sit across from can feel the difference before the first sentence is complete.</w:t>
      </w:r>
    </w:p>
    <w:p>
      <w:pPr>
        <w:pBdr>
          <w:top w:val="single" w:color="C4A95A" w:sz="4" w:space="8"/>
          <w:bottom w:val="single" w:color="C4A95A" w:sz="4" w:space="8"/>
        </w:pBdr>
        <w:spacing w:before="240" w:after="240"/>
        <w:ind w:left="360" w:right="360"/>
        <w:jc w:val="center"/>
      </w:pPr>
      <w:r>
        <w:rPr>
          <w:rFonts w:ascii="Garamond" w:cs="Garamond" w:eastAsia="Garamond" w:hAnsi="Garamond"/>
          <w:b w:val="false"/>
          <w:bCs w:val="false"/>
          <w:i/>
          <w:iCs/>
          <w:color w:val="C4A95A"/>
          <w:sz w:val="28"/>
          <w:szCs w:val="28"/>
        </w:rPr>
        <w:t xml:space="preserve">Calculate your runway right now. Liquid reserves only. No equity. No credit. The actual number.</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Agent A liquid runway:  </w:t>
      </w:r>
      <w:r>
        <w:rPr>
          <w:rFonts w:ascii="Garamond" w:cs="Garamond" w:eastAsia="Garamond" w:hAnsi="Garamond"/>
          <w:i/>
          <w:iCs/>
          <w:color w:val="555555"/>
          <w:sz w:val="22"/>
          <w:szCs w:val="22"/>
        </w:rPr>
        <w:t xml:space="preserve">checking + savings + money market</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7.2 months</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Agent B liquid runway:  </w:t>
      </w:r>
      <w:r>
        <w:rPr>
          <w:rFonts w:ascii="Garamond" w:cs="Garamond" w:eastAsia="Garamond" w:hAnsi="Garamond"/>
          <w:i/>
          <w:iCs/>
          <w:color w:val="555555"/>
          <w:sz w:val="22"/>
          <w:szCs w:val="22"/>
        </w:rPr>
        <w:t xml:space="preserve">same production, different management</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1.4 months</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Agent A's signal in the listing appointment:  </w:t>
      </w:r>
      <w:r>
        <w:rPr>
          <w:rFonts w:ascii="Garamond" w:cs="Garamond" w:eastAsia="Garamond" w:hAnsi="Garamond"/>
          <w:i/>
          <w:iCs/>
          <w:color w:val="555555"/>
          <w:sz w:val="22"/>
          <w:szCs w:val="22"/>
        </w:rPr>
        <w:t xml:space="preserve">genuine indifference to losing the listing</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Abundance</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Agent B's signal in the same appointment:  </w:t>
      </w:r>
      <w:r>
        <w:rPr>
          <w:rFonts w:ascii="Garamond" w:cs="Garamond" w:eastAsia="Garamond" w:hAnsi="Garamond"/>
          <w:i/>
          <w:iCs/>
          <w:color w:val="555555"/>
          <w:sz w:val="22"/>
          <w:szCs w:val="22"/>
        </w:rPr>
        <w:t xml:space="preserve">cannot afford to lose the listing</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Need</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What the client's nervous system reads:  </w:t>
      </w:r>
      <w:r>
        <w:rPr>
          <w:rFonts w:ascii="Garamond" w:cs="Garamond" w:eastAsia="Garamond" w:hAnsi="Garamond"/>
          <w:i/>
          <w:iCs/>
          <w:color w:val="555555"/>
          <w:sz w:val="22"/>
          <w:szCs w:val="22"/>
        </w:rPr>
        <w:t xml:space="preserve">in the first 90 seconds, accurately</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Everything</w:t>
      </w:r>
    </w:p>
    <w:p>
      <w:pPr>
        <w:pBdr>
          <w:bottom w:val="single" w:color="C4A95A" w:sz="2" w:space="6"/>
          <w:left w:val="single" w:color="C4A95A" w:sz="16" w:space="14"/>
        </w:pBdr>
        <w:spacing w:before="120" w:after="120"/>
        <w:ind w:left="280"/>
      </w:pPr>
      <w:r>
        <w:rPr>
          <w:rFonts w:ascii="Garamond" w:cs="Garamond" w:eastAsia="Garamond" w:hAnsi="Garamond"/>
          <w:b/>
          <w:bCs/>
          <w:color w:val="C4A95A"/>
          <w:sz w:val="22"/>
          <w:szCs w:val="22"/>
        </w:rPr>
        <w:t xml:space="preserve">Career trajectory difference at year 5:  </w:t>
      </w:r>
      <w:r>
        <w:rPr>
          <w:rFonts w:ascii="Garamond" w:cs="Garamond" w:eastAsia="Garamond" w:hAnsi="Garamond"/>
          <w:i/>
          <w:iCs/>
          <w:color w:val="555555"/>
          <w:sz w:val="22"/>
          <w:szCs w:val="22"/>
        </w:rPr>
        <w:t xml:space="preserve">same skills, different positions</w:t>
      </w:r>
      <w:r>
        <w:rPr>
          <w:rFonts w:ascii="Garamond" w:cs="Garamond" w:eastAsia="Garamond" w:hAnsi="Garamond"/>
          <w:color w:val="555555"/>
          <w:sz w:val="22"/>
          <w:szCs w:val="22"/>
        </w:rPr>
        <w:t xml:space="preserve">  =  </w:t>
      </w:r>
      <w:r>
        <w:rPr>
          <w:rFonts w:ascii="Garamond" w:cs="Garamond" w:eastAsia="Garamond" w:hAnsi="Garamond"/>
          <w:b/>
          <w:bCs/>
          <w:color w:val="0A0A0A"/>
          <w:sz w:val="26"/>
          <w:szCs w:val="26"/>
        </w:rPr>
        <w:t xml:space="preserve">Compounding</w:t>
      </w:r>
    </w:p>
    <w:p>
      <w:pPr>
        <w:spacing w:before="160" w:after="100"/>
        <w:jc w:val="both"/>
      </w:pPr>
      <w:r>
        <w:rPr>
          <w:rFonts w:ascii="Garamond" w:cs="Garamond" w:eastAsia="Garamond" w:hAnsi="Garamond"/>
          <w:b w:val="false"/>
          <w:bCs w:val="false"/>
          <w:i w:val="false"/>
          <w:iCs w:val="false"/>
          <w:color w:val="1A1A1A"/>
          <w:sz w:val="24"/>
          <w:szCs w:val="24"/>
        </w:rPr>
        <w:t xml:space="preserve">The surplus position is not the reward of a successful career. It is the precondition for one. The agent who builds six months of liquid runway before the career reaches peak production is building the professional signal quality that attracts the clients who produce peak production. The agent who waits for success to build the surplus has reversed the sequence — and will wait indefinitely.</w:t>
      </w:r>
    </w:p>
    <w:p>
      <w:pPr>
        <w:spacing w:before="160" w:after="100"/>
        <w:jc w:val="both"/>
      </w:pPr>
      <w:r>
        <w:rPr>
          <w:rFonts w:ascii="Garamond" w:cs="Garamond" w:eastAsia="Garamond" w:hAnsi="Garamond"/>
          <w:b w:val="false"/>
          <w:bCs w:val="false"/>
          <w:i w:val="false"/>
          <w:iCs w:val="false"/>
          <w:color w:val="1A1A1A"/>
          <w:sz w:val="24"/>
          <w:szCs w:val="24"/>
        </w:rPr>
        <w:t xml:space="preserve">The seven calculations in this document are connected. The net per transaction funds the runway. The runway enables the decline of the wrong client. The decline of the wrong client preserves the time for the database maintenance. The database maintenance produces the referral rate. The referral rate funds the tax optimization. The tax optimization compounds the surplus. The surplus maintains the runway. The compound never stops — in either direction. The agent who starts from these seven numbers starts from accuracy. Everything built on accuracy compounds permanently.</w:t>
      </w:r>
    </w:p>
    <w:p>
      <w:pPr>
        <w:pBdr>
          <w:left w:val="single" w:color="C4A95A" w:sz="12" w:space="14"/>
        </w:pBdr>
        <w:spacing w:before="80" w:after="200"/>
        <w:ind w:left="280"/>
      </w:pPr>
      <w:r>
        <w:rPr>
          <w:rFonts w:ascii="Garamond" w:cs="Garamond" w:eastAsia="Garamond" w:hAnsi="Garamond"/>
          <w:b/>
          <w:bCs/>
          <w:color w:val="A8C4D4"/>
          <w:sz w:val="22"/>
          <w:szCs w:val="22"/>
        </w:rPr>
        <w:t xml:space="preserve">P +9  </w:t>
      </w:r>
      <w:r>
        <w:rPr>
          <w:rFonts w:ascii="Garamond" w:cs="Garamond" w:eastAsia="Garamond" w:hAnsi="Garamond"/>
          <w:b/>
          <w:bCs/>
          <w:color w:val="D4A8A8"/>
          <w:sz w:val="22"/>
          <w:szCs w:val="22"/>
        </w:rPr>
        <w:t xml:space="preserve">L +9  </w:t>
      </w:r>
      <w:r>
        <w:rPr>
          <w:rFonts w:ascii="Garamond" w:cs="Garamond" w:eastAsia="Garamond" w:hAnsi="Garamond"/>
          <w:b/>
          <w:bCs/>
          <w:color w:val="D4C4A8"/>
          <w:sz w:val="22"/>
          <w:szCs w:val="22"/>
        </w:rPr>
        <w:t xml:space="preserve">T -3  </w:t>
      </w:r>
      <w:r>
        <w:rPr>
          <w:rFonts w:ascii="Garamond" w:cs="Garamond" w:eastAsia="Garamond" w:hAnsi="Garamond"/>
          <w:i/>
          <w:iCs/>
          <w:color w:val="555555"/>
          <w:sz w:val="20"/>
          <w:szCs w:val="20"/>
        </w:rPr>
        <w:t xml:space="preserve">  Agent with 7-month runway vs. agent with 1-month runway: same appointment, same property.</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160"/>
        <w:jc w:val="center"/>
      </w:pPr>
      <w:r>
        <w:rPr>
          <w:rFonts w:ascii="Garamond" w:cs="Garamond" w:eastAsia="Garamond" w:hAnsi="Garamond"/>
          <w:b w:val="false"/>
          <w:bCs w:val="false"/>
          <w:i/>
          <w:iCs/>
          <w:color w:val="C4A95A"/>
          <w:sz w:val="34"/>
          <w:szCs w:val="34"/>
        </w:rPr>
        <w:t xml:space="preserve">After the Seven Numbers</w:t>
      </w:r>
    </w:p>
    <w:p>
      <w:pPr>
        <w:pBdr>
          <w:bottom w:val="single" w:color="C4A95A" w:sz="8" w:space="6"/>
        </w:pBdr>
        <w:spacing w:before="120" w:after="120"/>
      </w:pPr>
      <w:r>
        <w:rPr>
          <w:rFonts w:ascii="Garamond" w:cs="Garamond" w:eastAsia="Garamond" w:hAnsi="Garamond"/>
          <w:b w:val="false"/>
          <w:bCs w:val="false"/>
          <w:i w:val="false"/>
          <w:iCs w:val="false"/>
          <w:color w:val="0A0A0A"/>
          <w:sz w:val="24"/>
          <w:szCs w:val="24"/>
        </w:rPr>
        <w:t xml:space="preserve"/>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160" w:after="100"/>
        <w:jc w:val="both"/>
      </w:pPr>
      <w:r>
        <w:rPr>
          <w:rFonts w:ascii="Garamond" w:cs="Garamond" w:eastAsia="Garamond" w:hAnsi="Garamond"/>
          <w:b w:val="false"/>
          <w:bCs w:val="false"/>
          <w:i w:val="false"/>
          <w:iCs w:val="false"/>
          <w:color w:val="1A1A1A"/>
          <w:sz w:val="24"/>
          <w:szCs w:val="24"/>
        </w:rPr>
        <w:t xml:space="preserve">You have just run seven calculations that the industry has an active financial interest in you never running. The results are yours. What you do with them is the only question that follows.</w:t>
      </w:r>
    </w:p>
    <w:p>
      <w:pPr>
        <w:spacing w:before="160" w:after="100"/>
        <w:jc w:val="both"/>
      </w:pPr>
      <w:r>
        <w:rPr>
          <w:rFonts w:ascii="Garamond" w:cs="Garamond" w:eastAsia="Garamond" w:hAnsi="Garamond"/>
          <w:b w:val="false"/>
          <w:bCs w:val="false"/>
          <w:i w:val="false"/>
          <w:iCs w:val="false"/>
          <w:color w:val="1A1A1A"/>
          <w:sz w:val="24"/>
          <w:szCs w:val="24"/>
        </w:rPr>
        <w:t xml:space="preserve">Some of the numbers revealed a gap that is smaller than you feared. Some revealed a gap that is larger than you expected. Either way, the gap is now visible — and a visible gap is addressable in a way that an invisible one is not. The agent who knows exactly what their referral gap costs is equipped to close it. The agent who does not know it cannot close what they cannot see.</w:t>
      </w:r>
    </w:p>
    <w:p>
      <w:pPr>
        <w:spacing w:before="160" w:after="100"/>
        <w:jc w:val="both"/>
      </w:pPr>
      <w:r>
        <w:rPr>
          <w:rFonts w:ascii="Garamond" w:cs="Garamond" w:eastAsia="Garamond" w:hAnsi="Garamond"/>
          <w:b w:val="false"/>
          <w:bCs w:val="false"/>
          <w:i w:val="false"/>
          <w:iCs w:val="false"/>
          <w:color w:val="1A1A1A"/>
          <w:sz w:val="24"/>
          <w:szCs w:val="24"/>
        </w:rPr>
        <w:t xml:space="preserve">These seven calculations are not the complete doctrine. They are the entry point to it. The PLT doctrine — Profit + Love − Tax = True Value — is a complete system for building the career that these calculations point toward. The doctrine covers forty specific domains of professional practice, from the financial architecture of the business to the psychological management of the client relationship, from the public records that most agents never read to the professional relationships that most agents never build. It is organized as forty Estates — domains of knowledge that, when owned completely, produce a professional position that the market cannot replicate or compete away.</w:t>
      </w:r>
    </w:p>
    <w:p>
      <w:pPr>
        <w:spacing w:before="160" w:after="100"/>
        <w:jc w:val="both"/>
      </w:pPr>
      <w:r>
        <w:rPr>
          <w:rFonts w:ascii="Garamond" w:cs="Garamond" w:eastAsia="Garamond" w:hAnsi="Garamond"/>
          <w:b w:val="false"/>
          <w:bCs w:val="false"/>
          <w:i w:val="false"/>
          <w:iCs w:val="false"/>
          <w:color w:val="1A1A1A"/>
          <w:sz w:val="24"/>
          <w:szCs w:val="24"/>
        </w:rPr>
        <w:t xml:space="preserve">This brief exists to show you what the numbers reveal. The doctrine exists to show you what to do about them.</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20" w:space="20"/>
          <w:right w:val="single" w:color="C4A95A" w:sz="4" w:space="16"/>
        </w:pBdr>
        <w:spacing w:before="300" w:after="300"/>
        <w:ind w:left="360" w:right="360"/>
        <w:jc w:val="center"/>
      </w:pPr>
      <w:r>
        <w:rPr>
          <w:rFonts w:ascii="Garamond" w:cs="Garamond" w:eastAsia="Garamond" w:hAnsi="Garamond"/>
          <w:b w:val="false"/>
          <w:bCs w:val="false"/>
          <w:i/>
          <w:iCs/>
          <w:color w:val="C4A95A"/>
          <w:sz w:val="30"/>
          <w:szCs w:val="30"/>
        </w:rPr>
        <w:t xml:space="preserve">The career that compounds permanently is built on seven calculations run honestly, and forty practices executed consistently.</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160" w:after="100"/>
        <w:jc w:val="both"/>
      </w:pPr>
      <w:r>
        <w:rPr>
          <w:rFonts w:ascii="Garamond" w:cs="Garamond" w:eastAsia="Garamond" w:hAnsi="Garamond"/>
          <w:b w:val="false"/>
          <w:bCs w:val="false"/>
          <w:i w:val="false"/>
          <w:iCs w:val="false"/>
          <w:color w:val="1A1A1A"/>
          <w:sz w:val="24"/>
          <w:szCs w:val="24"/>
        </w:rPr>
        <w:t xml:space="preserve">If what you read here changed the way you see the business — share it. Not with your broker. With the agent in your network who is working harder than the results justify and who has never seen these numbers. The calculation is the gift. Pass it on.</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bottom w:val="single" w:color="C4A95A" w:sz="8" w:space="6"/>
        </w:pBdr>
        <w:spacing w:before="120" w:after="120"/>
      </w:pPr>
      <w:r>
        <w:rPr>
          <w:rFonts w:ascii="Garamond" w:cs="Garamond" w:eastAsia="Garamond" w:hAnsi="Garamond"/>
          <w:b w:val="false"/>
          <w:bCs w:val="false"/>
          <w:i w:val="false"/>
          <w:iCs w:val="false"/>
          <w:color w:val="0A0A0A"/>
          <w:sz w:val="24"/>
          <w:szCs w:val="24"/>
        </w:rPr>
        <w:t xml:space="preserve"/>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60"/>
        <w:jc w:val="left"/>
      </w:pPr>
      <w:r>
        <w:rPr>
          <w:rFonts w:ascii="Garamond" w:cs="Garamond" w:eastAsia="Garamond" w:hAnsi="Garamond"/>
          <w:b/>
          <w:bCs/>
          <w:i w:val="false"/>
          <w:iCs w:val="false"/>
          <w:color w:val="C4A95A"/>
          <w:sz w:val="28"/>
          <w:szCs w:val="28"/>
        </w:rPr>
        <w:t xml:space="preserve">Craig Jones</w:t>
      </w:r>
    </w:p>
    <w:p>
      <w:pPr>
        <w:spacing w:before="0" w:after="0"/>
        <w:jc w:val="left"/>
      </w:pPr>
      <w:r>
        <w:rPr>
          <w:rFonts w:ascii="Garamond" w:cs="Garamond" w:eastAsia="Garamond" w:hAnsi="Garamond"/>
          <w:b w:val="false"/>
          <w:bCs w:val="false"/>
          <w:i w:val="false"/>
          <w:iCs w:val="false"/>
          <w:color w:val="555555"/>
          <w:sz w:val="20"/>
          <w:szCs w:val="20"/>
        </w:rPr>
        <w:t xml:space="preserve">Little Bunny  ·  The PLT Press</w:t>
      </w:r>
    </w:p>
    <w:p>
      <w:pPr>
        <w:spacing w:before="0" w:after="0"/>
        <w:jc w:val="left"/>
      </w:pPr>
      <w:r>
        <w:rPr>
          <w:rFonts w:ascii="Garamond" w:cs="Garamond" w:eastAsia="Garamond" w:hAnsi="Garamond"/>
          <w:b w:val="false"/>
          <w:bCs w:val="false"/>
          <w:i/>
          <w:iCs/>
          <w:color w:val="555555"/>
          <w:sz w:val="18"/>
          <w:szCs w:val="18"/>
        </w:rPr>
        <w:t xml:space="preserve">This document is produced by PLT Press for distribution to agents who are ready to see the numbers.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val="false"/>
          <w:bCs w:val="false"/>
          <w:i/>
          <w:iCs/>
          <w:color w:val="C4A95A"/>
          <w:sz w:val="20"/>
          <w:szCs w:val="20"/>
        </w:rPr>
        <w:t xml:space="preserve">The PLT Framework: PROFIT + LOVE − TAX = TRUE VALUE</w:t>
      </w:r>
    </w:p>
    <w:p>
      <w:pPr>
        <w:spacing w:before="0" w:after="0"/>
        <w:jc w:val="center"/>
      </w:pPr>
      <w:r>
        <w:rPr>
          <w:rFonts w:ascii="Garamond" w:cs="Garamond" w:eastAsia="Garamond" w:hAnsi="Garamond"/>
          <w:b w:val="false"/>
          <w:bCs w:val="false"/>
          <w:i/>
          <w:iCs/>
          <w:color w:val="555555"/>
          <w:sz w:val="18"/>
          <w:szCs w:val="18"/>
        </w:rPr>
        <w:t xml:space="preserve">The Estate is available upon request.</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2026-04-03T08:43:37.626Z</dcterms:created>
  <dcterms:modified xsi:type="dcterms:W3CDTF">2026-04-03T08:43:37.627Z</dcterms:modified>
</cp:coreProperties>
</file>

<file path=docProps/custom.xml><?xml version="1.0" encoding="utf-8"?>
<Properties xmlns="http://schemas.openxmlformats.org/officeDocument/2006/custom-properties" xmlns:vt="http://schemas.openxmlformats.org/officeDocument/2006/docPropsVTypes"/>
</file>