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120"/>
          <w:szCs w:val="120"/>
        </w:rPr>
        <w:t xml:space="preserve">THE</w:t>
      </w:r>
    </w:p>
    <w:p>
      <w:pPr>
        <w:spacing w:before="0" w:after="0"/>
        <w:jc w:val="left"/>
      </w:pPr>
      <w:r>
        <w:rPr>
          <w:rFonts w:ascii="Garamond" w:cs="Garamond" w:eastAsia="Garamond" w:hAnsi="Garamond"/>
          <w:b/>
          <w:bCs/>
          <w:i w:val="false"/>
          <w:iCs w:val="false"/>
          <w:color w:val="0A0A0A"/>
          <w:sz w:val="180"/>
          <w:szCs w:val="180"/>
        </w:rPr>
        <w:t xml:space="preserve">ESTATE</w:t>
      </w:r>
    </w:p>
    <w:p>
      <w:pPr>
        <w:spacing w:before="60" w:after="0"/>
        <w:jc w:val="left"/>
      </w:pPr>
      <w:r>
        <w:rPr>
          <w:rFonts w:ascii="Garamond" w:cs="Garamond" w:eastAsia="Garamond" w:hAnsi="Garamond"/>
          <w:b w:val="false"/>
          <w:bCs w:val="false"/>
          <w:i w:val="false"/>
          <w:iCs w:val="false"/>
          <w:color w:val="0A0A0A"/>
          <w:sz w:val="24"/>
          <w:szCs w:val="24"/>
        </w:rPr>
        <w:t xml:space="preserve"/>
      </w:r>
    </w:p>
    <w:p>
      <w:pPr>
        <w:pBdr>
          <w:bottom w:val="single" w:color="C4A95A" w:sz="10" w:space="8"/>
        </w:pBdr>
        <w:spacing w:before="0" w:after="80"/>
      </w:pPr>
      <w:r>
        <w:rPr>
          <w:rFonts w:ascii="Garamond" w:cs="Garamond" w:eastAsia="Garamond" w:hAnsi="Garamond"/>
          <w:b/>
          <w:bCs/>
          <w:i w:val="false"/>
          <w:iCs w:val="false"/>
          <w:color w:val="C4A95A"/>
          <w:sz w:val="34"/>
          <w:szCs w:val="34"/>
        </w:rPr>
        <w:t xml:space="preserve">The Classified Doctrine of the Real Estate Agent</w:t>
      </w:r>
    </w:p>
    <w:p>
      <w:pPr>
        <w:spacing w:before="0" w:after="0"/>
        <w:jc w:val="left"/>
      </w:pPr>
      <w:r>
        <w:rPr>
          <w:rFonts w:ascii="Garamond" w:cs="Garamond" w:eastAsia="Garamond" w:hAnsi="Garamond"/>
          <w:b/>
          <w:bCs/>
          <w:i w:val="false"/>
          <w:iCs w:val="false"/>
          <w:color w:val="C4A95A"/>
          <w:sz w:val="34"/>
          <w:szCs w:val="34"/>
        </w:rPr>
        <w:t xml:space="preserve">Who Has Decided to Win.</w:t>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0"/>
        <w:jc w:val="center"/>
      </w:pPr>
      <w:r>
        <w:rPr>
          <w:rFonts w:ascii="Garamond" w:cs="Garamond" w:eastAsia="Garamond" w:hAnsi="Garamond"/>
          <w:b w:val="false"/>
          <w:bCs w:val="false"/>
          <w:i/>
          <w:iCs/>
          <w:color w:val="555555"/>
          <w:sz w:val="24"/>
          <w:szCs w:val="24"/>
        </w:rPr>
        <w:t xml:space="preserve">Forty Estates. Seven Books. One Doctrine.</w:t>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26"/>
          <w:szCs w:val="26"/>
        </w:rPr>
        <w:t xml:space="preserve">Craig Jones</w:t>
      </w:r>
    </w:p>
    <w:p>
      <w:pPr>
        <w:spacing w:before="0" w:after="0"/>
        <w:jc w:val="left"/>
      </w:pPr>
      <w:r>
        <w:rPr>
          <w:rFonts w:ascii="Garamond" w:cs="Garamond" w:eastAsia="Garamond" w:hAnsi="Garamond"/>
          <w:b w:val="false"/>
          <w:bCs w:val="false"/>
          <w:i w:val="false"/>
          <w:iCs w:val="false"/>
          <w:color w:val="555555"/>
          <w:sz w:val="20"/>
          <w:szCs w:val="20"/>
        </w:rPr>
        <w:t xml:space="preserve">Little Bunny  ·  The PLT Press</w:t>
      </w:r>
    </w:p>
    <w:p>
      <w:pPr>
        <w:spacing w:before="0" w:after="0"/>
        <w:jc w:val="left"/>
      </w:pPr>
      <w:r>
        <w:rPr>
          <w:rFonts w:ascii="Garamond" w:cs="Garamond" w:eastAsia="Garamond" w:hAnsi="Garamond"/>
          <w:b w:val="false"/>
          <w:bCs w:val="false"/>
          <w:i/>
          <w:iCs/>
          <w:color w:val="555555"/>
          <w:sz w:val="20"/>
          <w:szCs w:val="20"/>
        </w:rPr>
        <w:t xml:space="preserve">Internal Distribution Only.  Copy No. ______</w:t>
      </w:r>
    </w:p>
    <w:p>
      <w:pPr>
        <w:spacing w:before="0" w:after="0"/>
        <w:jc w:val="left"/>
      </w:pPr>
      <w:r>
        <w:br/>
      </w:r>
    </w:p>
    <w:p>
      <w:pPr>
        <w:spacing w:before="6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val="false"/>
          <w:bCs w:val="false"/>
          <w:i w:val="false"/>
          <w:iCs w:val="false"/>
          <w:color w:val="555555"/>
          <w:sz w:val="20"/>
          <w:szCs w:val="20"/>
        </w:rPr>
        <w:t xml:space="preserve">Copyright © 2026 Craig Jones / PLT Press</w:t>
      </w:r>
    </w:p>
    <w:p>
      <w:pPr>
        <w:spacing w:before="60" w:after="0"/>
        <w:jc w:val="left"/>
      </w:pPr>
      <w:r>
        <w:rPr>
          <w:rFonts w:ascii="Garamond" w:cs="Garamond" w:eastAsia="Garamond" w:hAnsi="Garamond"/>
          <w:b w:val="false"/>
          <w:bCs w:val="false"/>
          <w:i w:val="false"/>
          <w:iCs w:val="false"/>
          <w:color w:val="555555"/>
          <w:sz w:val="18"/>
          <w:szCs w:val="18"/>
        </w:rPr>
        <w:t xml:space="preserve">All rights reserved. PLT Framework is a trademark of Craig Jones.</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val="false"/>
          <w:bCs w:val="false"/>
          <w:i/>
          <w:iCs/>
          <w:color w:val="555555"/>
          <w:sz w:val="18"/>
          <w:szCs w:val="18"/>
        </w:rPr>
        <w:t xml:space="preserve">This document is distributed exclusively to verified members of The Estate.</w:t>
      </w:r>
    </w:p>
    <w:p>
      <w:pPr>
        <w:spacing w:before="0" w:after="0"/>
        <w:jc w:val="left"/>
      </w:pPr>
      <w:r>
        <w:rPr>
          <w:rFonts w:ascii="Garamond" w:cs="Garamond" w:eastAsia="Garamond" w:hAnsi="Garamond"/>
          <w:b w:val="false"/>
          <w:bCs w:val="false"/>
          <w:i/>
          <w:iCs/>
          <w:color w:val="555555"/>
          <w:sz w:val="18"/>
          <w:szCs w:val="18"/>
        </w:rPr>
        <w:t xml:space="preserve">Reproduction, redistribution, or disclosure of its contents to any person</w:t>
      </w:r>
    </w:p>
    <w:p>
      <w:pPr>
        <w:spacing w:before="0" w:after="0"/>
        <w:jc w:val="left"/>
      </w:pPr>
      <w:r>
        <w:rPr>
          <w:rFonts w:ascii="Garamond" w:cs="Garamond" w:eastAsia="Garamond" w:hAnsi="Garamond"/>
          <w:b w:val="false"/>
          <w:bCs w:val="false"/>
          <w:i/>
          <w:iCs/>
          <w:color w:val="555555"/>
          <w:sz w:val="18"/>
          <w:szCs w:val="18"/>
        </w:rPr>
        <w:t xml:space="preserve">engaged in residential real estate sales constitutes a breach of membership.</w:t>
      </w:r>
    </w:p>
    <w:p>
      <w:pPr>
        <w:spacing w:before="100" w:after="0"/>
        <w:jc w:val="left"/>
      </w:pPr>
      <w:r>
        <w:rPr>
          <w:rFonts w:ascii="Garamond" w:cs="Garamond" w:eastAsia="Garamond" w:hAnsi="Garamond"/>
          <w:b w:val="false"/>
          <w:bCs w:val="false"/>
          <w:i/>
          <w:iCs/>
          <w:color w:val="555555"/>
          <w:sz w:val="18"/>
          <w:szCs w:val="18"/>
        </w:rPr>
        <w:t xml:space="preserve">Each copy is numbered and traceable. Do not share it.</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val="false"/>
          <w:bCs w:val="false"/>
          <w:i/>
          <w:iCs/>
          <w:color w:val="555555"/>
          <w:sz w:val="18"/>
          <w:szCs w:val="18"/>
        </w:rPr>
        <w:t xml:space="preserve">First Edition. Printed for the agent who has decided to win.</w:t>
      </w:r>
    </w:p>
    <w:p>
      <w:pPr>
        <w:spacing w:before="0" w:after="0"/>
        <w:jc w:val="left"/>
      </w:pPr>
      <w:r>
        <w:br/>
      </w:r>
    </w:p>
    <w:p>
      <w:pPr>
        <w:spacing w:before="300" w:after="0"/>
        <w:jc w:val="left"/>
      </w:pPr>
      <w:r>
        <w:rPr>
          <w:rFonts w:ascii="Garamond" w:cs="Garamond" w:eastAsia="Garamond" w:hAnsi="Garamond"/>
          <w:b w:val="false"/>
          <w:bCs w:val="false"/>
          <w:i w:val="false"/>
          <w:iCs w:val="false"/>
          <w:color w:val="0A0A0A"/>
          <w:sz w:val="24"/>
          <w:szCs w:val="24"/>
        </w:rPr>
        <w:t xml:space="preserve"/>
      </w:r>
    </w:p>
    <w:p>
      <w:pPr>
        <w:spacing w:before="0" w:after="200"/>
        <w:jc w:val="center"/>
      </w:pPr>
      <w:r>
        <w:rPr>
          <w:rFonts w:ascii="Garamond" w:cs="Garamond" w:eastAsia="Garamond" w:hAnsi="Garamond"/>
          <w:b w:val="false"/>
          <w:bCs w:val="false"/>
          <w:i/>
          <w:iCs/>
          <w:color w:val="C4A95A"/>
          <w:sz w:val="32"/>
          <w:szCs w:val="32"/>
        </w:rPr>
        <w:t xml:space="preserve">Before the First Estate</w:t>
      </w:r>
    </w:p>
    <w:p>
      <w:pPr>
        <w:pBdr>
          <w:bottom w:val="single" w:color="C4A95A" w:sz="8" w:space="6"/>
        </w:pBdr>
        <w:spacing w:before="120" w:after="120"/>
      </w:pPr>
      <w:r>
        <w:rPr>
          <w:rFonts w:ascii="Garamond" w:cs="Garamond" w:eastAsia="Garamond" w:hAnsi="Garamond"/>
          <w:b w:val="false"/>
          <w:bCs w:val="false"/>
          <w:i w:val="false"/>
          <w:iCs w:val="false"/>
          <w:color w:val="0A0A0A"/>
          <w:sz w:val="24"/>
          <w:szCs w:val="24"/>
        </w:rPr>
        <w:t xml:space="preserve"/>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160" w:after="100"/>
        <w:jc w:val="both"/>
      </w:pPr>
      <w:r>
        <w:rPr>
          <w:rFonts w:ascii="Garamond" w:cs="Garamond" w:eastAsia="Garamond" w:hAnsi="Garamond"/>
          <w:b w:val="false"/>
          <w:bCs w:val="false"/>
          <w:i w:val="false"/>
          <w:iCs w:val="false"/>
          <w:color w:val="1A1A1A"/>
          <w:sz w:val="24"/>
          <w:szCs w:val="24"/>
        </w:rPr>
        <w:t xml:space="preserve">This document was not written for the real estate industry. It was written against it.</w:t>
      </w:r>
    </w:p>
    <w:p>
      <w:pPr>
        <w:spacing w:before="160" w:after="100"/>
        <w:jc w:val="both"/>
      </w:pPr>
      <w:r>
        <w:rPr>
          <w:rFonts w:ascii="Garamond" w:cs="Garamond" w:eastAsia="Garamond" w:hAnsi="Garamond"/>
          <w:b w:val="false"/>
          <w:bCs w:val="false"/>
          <w:i w:val="false"/>
          <w:iCs w:val="false"/>
          <w:color w:val="1A1A1A"/>
          <w:sz w:val="24"/>
          <w:szCs w:val="24"/>
        </w:rPr>
        <w:t xml:space="preserve">The industry profits from the gap between what the agents at the top of every market understand about the business and what everyone else is taught in licensing courses, brokerage training programs, coaching subscriptions, and conference keynotes. That gap is not accidental. It is maintained. The industry survives on the labor of agents who are motivated enough to produce volume but not informed enough to build position. Motivation without information is fuel without a map. The industry has been selling maps with the destination removed for forty years.</w:t>
      </w:r>
    </w:p>
    <w:p>
      <w:pPr>
        <w:spacing w:before="160" w:after="100"/>
        <w:jc w:val="both"/>
      </w:pPr>
      <w:r>
        <w:rPr>
          <w:rFonts w:ascii="Garamond" w:cs="Garamond" w:eastAsia="Garamond" w:hAnsi="Garamond"/>
          <w:b w:val="false"/>
          <w:bCs w:val="false"/>
          <w:i w:val="false"/>
          <w:iCs w:val="false"/>
          <w:color w:val="1A1A1A"/>
          <w:sz w:val="24"/>
          <w:szCs w:val="24"/>
        </w:rPr>
        <w:t xml:space="preserve">This doctrine provides the destination.</w:t>
      </w:r>
    </w:p>
    <w:p>
      <w:pPr>
        <w:spacing w:before="160" w:after="100"/>
        <w:jc w:val="both"/>
      </w:pPr>
      <w:r>
        <w:rPr>
          <w:rFonts w:ascii="Garamond" w:cs="Garamond" w:eastAsia="Garamond" w:hAnsi="Garamond"/>
          <w:b w:val="false"/>
          <w:bCs w:val="false"/>
          <w:i w:val="false"/>
          <w:iCs w:val="false"/>
          <w:color w:val="1A1A1A"/>
          <w:sz w:val="24"/>
          <w:szCs w:val="24"/>
        </w:rPr>
        <w:t xml:space="preserve">What follows has never appeared in any training program, any brokerage meeting, any bestselling real estate book, any coaching call, any mastermind group, any conference keynote. Not because it is new. Because it is protected by the silence of the people who figured it out. The agents operating at the highest level of this business learned these things through years of expensive failure, through private mentorship with mentors who extracted a specific price for the knowledge, and through a quality of attention to the real mechanics of the business that only accumulates through decades of showing up every single day and refusing to look away from what was actually happening in the room.</w:t>
      </w:r>
    </w:p>
    <w:p>
      <w:pPr>
        <w:spacing w:before="160" w:after="100"/>
        <w:jc w:val="both"/>
      </w:pPr>
      <w:r>
        <w:rPr>
          <w:rFonts w:ascii="Garamond" w:cs="Garamond" w:eastAsia="Garamond" w:hAnsi="Garamond"/>
          <w:b w:val="false"/>
          <w:bCs w:val="false"/>
          <w:i w:val="false"/>
          <w:iCs w:val="false"/>
          <w:color w:val="1A1A1A"/>
          <w:sz w:val="24"/>
          <w:szCs w:val="24"/>
        </w:rPr>
        <w:t xml:space="preserve">You are about to receive what took them decades. In a single sitting.</w:t>
      </w:r>
    </w:p>
    <w:p>
      <w:pPr>
        <w:spacing w:before="160" w:after="100"/>
        <w:jc w:val="both"/>
      </w:pPr>
      <w:r>
        <w:rPr>
          <w:rFonts w:ascii="Garamond" w:cs="Garamond" w:eastAsia="Garamond" w:hAnsi="Garamond"/>
          <w:b w:val="false"/>
          <w:bCs w:val="false"/>
          <w:i w:val="false"/>
          <w:iCs w:val="false"/>
          <w:color w:val="1A1A1A"/>
          <w:sz w:val="24"/>
          <w:szCs w:val="24"/>
        </w:rPr>
        <w:t xml:space="preserve">The doctrine is organized as Estates — not as chapters, not as lessons, not as modules. An Estate is a domain of knowledge. A territory you own when you understand it completely. The agent who owns all forty Estates owns their market. Not through domination — through comprehension. The agent who understands why the market behaves the way it does, who understands the specific psychology of every participant in every transaction, who understands the information advantages that are available to every agent but accessed by almost none — this agent does not compete with the market. They operate in a layer of it that most agents do not know exists.</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center"/>
      </w:pPr>
      <w:r>
        <w:rPr>
          <w:rFonts w:ascii="Garamond" w:cs="Garamond" w:eastAsia="Garamond" w:hAnsi="Garamond"/>
          <w:b w:val="false"/>
          <w:bCs w:val="false"/>
          <w:i/>
          <w:iCs/>
          <w:color w:val="C4A95A"/>
          <w:sz w:val="30"/>
          <w:szCs w:val="30"/>
        </w:rPr>
        <w:t xml:space="preserve">There are conditions to entry.</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160" w:after="100"/>
        <w:jc w:val="both"/>
      </w:pPr>
      <w:r>
        <w:rPr>
          <w:rFonts w:ascii="Garamond" w:cs="Garamond" w:eastAsia="Garamond" w:hAnsi="Garamond"/>
          <w:b w:val="false"/>
          <w:bCs w:val="false"/>
          <w:i w:val="false"/>
          <w:iCs w:val="false"/>
          <w:color w:val="1A1A1A"/>
          <w:sz w:val="24"/>
          <w:szCs w:val="24"/>
        </w:rPr>
        <w:t xml:space="preserve">Read alone. Not with a colleague. Not with your broker. Not with your spouse who is also an agent. The changes this doctrine produces in how you understand the business are changes that require processing space a shared reading cannot provide. You will encounter things in this book that will make you stop, set it down, and sit with the implication. That sitting — the private integration of a truth you had been moving around for years — is the most important part of the reading. It cannot happen in a group.</w:t>
      </w:r>
    </w:p>
    <w:p>
      <w:pPr>
        <w:spacing w:before="160" w:after="100"/>
        <w:jc w:val="both"/>
      </w:pPr>
      <w:r>
        <w:rPr>
          <w:rFonts w:ascii="Garamond" w:cs="Garamond" w:eastAsia="Garamond" w:hAnsi="Garamond"/>
          <w:b w:val="false"/>
          <w:bCs w:val="false"/>
          <w:i w:val="false"/>
          <w:iCs w:val="false"/>
          <w:color w:val="1A1A1A"/>
          <w:sz w:val="24"/>
          <w:szCs w:val="24"/>
        </w:rPr>
        <w:t xml:space="preserve">Do not share this book with other agents. This is not a legal instruction — it is a strategic one. Every copy that reaches a competing agent in your market narrows the advantage you are about to acquire. The agents at the top of your market did not circulate their doctrine. They practiced it. You are not obligated to share what you are about to learn. The obligation runs in one direction only: toward the clients who deserve the service this level of knowledge makes possible.</w:t>
      </w:r>
    </w:p>
    <w:p>
      <w:pPr>
        <w:spacing w:before="160" w:after="100"/>
        <w:jc w:val="both"/>
      </w:pPr>
      <w:r>
        <w:rPr>
          <w:rFonts w:ascii="Garamond" w:cs="Garamond" w:eastAsia="Garamond" w:hAnsi="Garamond"/>
          <w:b w:val="false"/>
          <w:bCs w:val="false"/>
          <w:i w:val="false"/>
          <w:iCs w:val="false"/>
          <w:color w:val="1A1A1A"/>
          <w:sz w:val="24"/>
          <w:szCs w:val="24"/>
        </w:rPr>
        <w:t xml:space="preserve">Apply before you evaluate. The doctrine in these Estates does not reveal its full power through reading. It reveals it the first time you sit across from a client and use what you learned here — when the conversation goes somewhere no script could have taken it, when the client looks at you with a recognition they did not expect to feel, when you close something that every other agent in the room could not close because they did not understand the specific human dynamic that was actually present. Evaluate in the field. The field will show you things about this doctrine that no reading can show you.</w:t>
      </w:r>
    </w:p>
    <w:p>
      <w:pPr>
        <w:spacing w:before="160" w:after="100"/>
        <w:jc w:val="both"/>
      </w:pPr>
      <w:r>
        <w:rPr>
          <w:rFonts w:ascii="Garamond" w:cs="Garamond" w:eastAsia="Garamond" w:hAnsi="Garamond"/>
          <w:b w:val="false"/>
          <w:bCs w:val="false"/>
          <w:i w:val="false"/>
          <w:iCs w:val="false"/>
          <w:color w:val="1A1A1A"/>
          <w:sz w:val="24"/>
          <w:szCs w:val="24"/>
        </w:rPr>
        <w:t xml:space="preserve">The doctrine is complete. Nothing has been withheld. Everything necessary to permanently alter your position in any real estate market in any economic environment is contained in the Estates that follow. The only remaining question is what you do with it.</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20" w:space="20"/>
          <w:right w:val="single" w:color="C4A95A" w:sz="4" w:space="16"/>
        </w:pBdr>
        <w:spacing w:before="300" w:after="300"/>
        <w:ind w:left="360" w:right="360"/>
        <w:jc w:val="center"/>
      </w:pPr>
      <w:r>
        <w:rPr>
          <w:rFonts w:ascii="Garamond" w:cs="Garamond" w:eastAsia="Garamond" w:hAnsi="Garamond"/>
          <w:b w:val="false"/>
          <w:bCs w:val="false"/>
          <w:i/>
          <w:iCs/>
          <w:color w:val="C4A95A"/>
          <w:sz w:val="30"/>
          <w:szCs w:val="30"/>
        </w:rPr>
        <w:t xml:space="preserve">You are entering the Estate. Nothing about how you practice will be the same after you leave it.</w:t>
      </w:r>
    </w:p>
    <w:p>
      <w:pPr>
        <w:spacing w:before="0" w:after="0"/>
        <w:jc w:val="left"/>
      </w:pPr>
      <w:r>
        <w:br/>
      </w:r>
    </w:p>
    <w:p>
      <w:pPr>
        <w:spacing w:before="300" w:after="0"/>
        <w:jc w:val="left"/>
      </w:pPr>
      <w:r>
        <w:rPr>
          <w:rFonts w:ascii="Garamond" w:cs="Garamond" w:eastAsia="Garamond" w:hAnsi="Garamond"/>
          <w:b w:val="false"/>
          <w:bCs w:val="false"/>
          <w:i w:val="false"/>
          <w:iCs w:val="false"/>
          <w:color w:val="0A0A0A"/>
          <w:sz w:val="24"/>
          <w:szCs w:val="24"/>
        </w:rPr>
        <w:t xml:space="preserve"/>
      </w:r>
    </w:p>
    <w:p>
      <w:pPr>
        <w:spacing w:before="0" w:after="200"/>
        <w:jc w:val="center"/>
      </w:pPr>
      <w:r>
        <w:rPr>
          <w:rFonts w:ascii="Garamond" w:cs="Garamond" w:eastAsia="Garamond" w:hAnsi="Garamond"/>
          <w:b w:val="false"/>
          <w:bCs w:val="false"/>
          <w:i/>
          <w:iCs/>
          <w:color w:val="C4A95A"/>
          <w:sz w:val="34"/>
          <w:szCs w:val="34"/>
        </w:rPr>
        <w:t xml:space="preserve">How to Read This Book</w:t>
      </w:r>
    </w:p>
    <w:p>
      <w:pPr>
        <w:pBdr>
          <w:bottom w:val="single" w:color="C4A95A" w:sz="8" w:space="6"/>
        </w:pBdr>
        <w:spacing w:before="120" w:after="120"/>
      </w:pPr>
      <w:r>
        <w:rPr>
          <w:rFonts w:ascii="Garamond" w:cs="Garamond" w:eastAsia="Garamond" w:hAnsi="Garamond"/>
          <w:b w:val="false"/>
          <w:bCs w:val="false"/>
          <w:i w:val="false"/>
          <w:iCs w:val="false"/>
          <w:color w:val="0A0A0A"/>
          <w:sz w:val="24"/>
          <w:szCs w:val="24"/>
        </w:rPr>
        <w:t xml:space="preserve"/>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C4A95A"/>
          <w:sz w:val="28"/>
          <w:szCs w:val="28"/>
        </w:rPr>
        <w:t xml:space="preserve">The PLT Framework</w:t>
      </w:r>
    </w:p>
    <w:p>
      <w:pPr>
        <w:spacing w:before="160" w:after="100"/>
        <w:jc w:val="both"/>
      </w:pPr>
      <w:r>
        <w:rPr>
          <w:rFonts w:ascii="Garamond" w:cs="Garamond" w:eastAsia="Garamond" w:hAnsi="Garamond"/>
          <w:b w:val="false"/>
          <w:bCs w:val="false"/>
          <w:i w:val="false"/>
          <w:iCs w:val="false"/>
          <w:color w:val="1A1A1A"/>
          <w:sz w:val="24"/>
          <w:szCs w:val="24"/>
        </w:rPr>
        <w:t xml:space="preserve">Throughout the forty Estates, every scenario, every professional decision, and every career outcome is evaluated through the same three-variable lens. That lens is the PLT Framework. It was developed to capture what standard financial analysis cannot: the full value of a professional decision, including the dimensions that never appear on an income statement but that determine everything about the career over time.</w:t>
      </w:r>
    </w:p>
    <w:p>
      <w:pPr>
        <w:spacing w:before="160" w:after="100"/>
        <w:jc w:val="both"/>
      </w:pPr>
      <w:r>
        <w:rPr>
          <w:rFonts w:ascii="Garamond" w:cs="Garamond" w:eastAsia="Garamond" w:hAnsi="Garamond"/>
          <w:b w:val="false"/>
          <w:bCs w:val="false"/>
          <w:i w:val="false"/>
          <w:iCs w:val="false"/>
          <w:color w:val="1A1A1A"/>
          <w:sz w:val="24"/>
          <w:szCs w:val="24"/>
        </w:rPr>
        <w:t xml:space="preserve">Three variables. One equation. The most useful instrument in the business.</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80"/>
        <w:jc w:val="left"/>
      </w:pPr>
      <w:r>
        <w:rPr>
          <w:rFonts w:ascii="Garamond" w:cs="Garamond" w:eastAsia="Garamond" w:hAnsi="Garamond"/>
          <w:b/>
          <w:bCs/>
          <w:i w:val="false"/>
          <w:iCs w:val="false"/>
          <w:color w:val="C4A95A"/>
          <w:sz w:val="26"/>
          <w:szCs w:val="26"/>
        </w:rPr>
        <w:t xml:space="preserve">P — Profit</w:t>
      </w:r>
    </w:p>
    <w:p>
      <w:pPr>
        <w:spacing w:before="160" w:after="100"/>
        <w:jc w:val="both"/>
      </w:pPr>
      <w:r>
        <w:rPr>
          <w:rFonts w:ascii="Garamond" w:cs="Garamond" w:eastAsia="Garamond" w:hAnsi="Garamond"/>
          <w:b w:val="false"/>
          <w:bCs w:val="false"/>
          <w:i w:val="false"/>
          <w:iCs w:val="false"/>
          <w:color w:val="1A1A1A"/>
          <w:sz w:val="24"/>
          <w:szCs w:val="24"/>
        </w:rPr>
        <w:t xml:space="preserve">Profit is the financial and business return produced by a decision, action, or behavior. It includes the immediate commission, the future pipeline value, the compounded referral income, and any direct revenue that flows from the professional behavior being evaluated. In the scoring tables throughout this book, Profit is scored from 0 to 10. A score of 0 means the action produces no measurable financial return. A score of 10 means it produces the maximum financial return available in the given scenario. Profit is displayed in blue.</w:t>
      </w:r>
    </w:p>
    <w:p>
      <w:pPr>
        <w:spacing w:before="160" w:after="100"/>
        <w:jc w:val="both"/>
      </w:pPr>
      <w:r>
        <w:rPr>
          <w:rFonts w:ascii="Garamond" w:cs="Garamond" w:eastAsia="Garamond" w:hAnsi="Garamond"/>
          <w:b w:val="false"/>
          <w:bCs w:val="false"/>
          <w:i w:val="false"/>
          <w:iCs w:val="false"/>
          <w:color w:val="1A1A1A"/>
          <w:sz w:val="24"/>
          <w:szCs w:val="24"/>
        </w:rPr>
        <w:t xml:space="preserve">Profit is not the only thing that matters. But it is the thing that makes everything else sustainable. The agent who ignores Profit in pursuit of other values eventually cannot practice any values at all.</w:t>
      </w:r>
    </w:p>
    <w:p>
      <w:pPr>
        <w:spacing w:before="160" w:after="0"/>
        <w:jc w:val="left"/>
      </w:pPr>
      <w:r>
        <w:rPr>
          <w:rFonts w:ascii="Garamond" w:cs="Garamond" w:eastAsia="Garamond" w:hAnsi="Garamond"/>
          <w:b w:val="false"/>
          <w:bCs w:val="false"/>
          <w:i w:val="false"/>
          <w:iCs w:val="false"/>
          <w:color w:val="0A0A0A"/>
          <w:sz w:val="24"/>
          <w:szCs w:val="24"/>
        </w:rPr>
        <w:t xml:space="preserve"/>
      </w:r>
    </w:p>
    <w:p>
      <w:pPr>
        <w:spacing w:before="0" w:after="80"/>
        <w:jc w:val="left"/>
      </w:pPr>
      <w:r>
        <w:rPr>
          <w:rFonts w:ascii="Garamond" w:cs="Garamond" w:eastAsia="Garamond" w:hAnsi="Garamond"/>
          <w:b/>
          <w:bCs/>
          <w:i w:val="false"/>
          <w:iCs w:val="false"/>
          <w:color w:val="C4A95A"/>
          <w:sz w:val="26"/>
          <w:szCs w:val="26"/>
        </w:rPr>
        <w:t xml:space="preserve">L — Love</w:t>
      </w:r>
    </w:p>
    <w:p>
      <w:pPr>
        <w:spacing w:before="160" w:after="100"/>
        <w:jc w:val="both"/>
      </w:pPr>
      <w:r>
        <w:rPr>
          <w:rFonts w:ascii="Garamond" w:cs="Garamond" w:eastAsia="Garamond" w:hAnsi="Garamond"/>
          <w:b w:val="false"/>
          <w:bCs w:val="false"/>
          <w:i w:val="false"/>
          <w:iCs w:val="false"/>
          <w:color w:val="1A1A1A"/>
          <w:sz w:val="24"/>
          <w:szCs w:val="24"/>
        </w:rPr>
        <w:t xml:space="preserve">Love is the relational, reputational, and trust capital produced by a decision. It measures the depth of the professional relationship built, the loyalty generated, the quality of the client's experience, and the probability that the interaction produces referral, advocacy, and long-term loyalty. Love is scored from -10 to 10. Positive scores mean the action builds trust and relationship capital. Negative scores mean it erodes them — which happens more often than most agents realize, and almost always in the decisions that feel safe in the moment. Love is displayed in rose.</w:t>
      </w:r>
    </w:p>
    <w:p>
      <w:pPr>
        <w:spacing w:before="160" w:after="100"/>
        <w:jc w:val="both"/>
      </w:pPr>
      <w:r>
        <w:rPr>
          <w:rFonts w:ascii="Garamond" w:cs="Garamond" w:eastAsia="Garamond" w:hAnsi="Garamond"/>
          <w:b w:val="false"/>
          <w:bCs w:val="false"/>
          <w:i w:val="false"/>
          <w:iCs w:val="false"/>
          <w:color w:val="1A1A1A"/>
          <w:sz w:val="24"/>
          <w:szCs w:val="24"/>
        </w:rPr>
        <w:t xml:space="preserve">Love is the variable that makes the business compound over time. Profit without Love produces transactions. Profit with Love produces a career. The difference between a twenty-transaction year that starts over in January and a twenty-transaction year that produces thirty-two transactions next year is entirely in the Love account.</w:t>
      </w:r>
    </w:p>
    <w:p>
      <w:pPr>
        <w:spacing w:before="160" w:after="0"/>
        <w:jc w:val="left"/>
      </w:pPr>
      <w:r>
        <w:rPr>
          <w:rFonts w:ascii="Garamond" w:cs="Garamond" w:eastAsia="Garamond" w:hAnsi="Garamond"/>
          <w:b w:val="false"/>
          <w:bCs w:val="false"/>
          <w:i w:val="false"/>
          <w:iCs w:val="false"/>
          <w:color w:val="0A0A0A"/>
          <w:sz w:val="24"/>
          <w:szCs w:val="24"/>
        </w:rPr>
        <w:t xml:space="preserve"/>
      </w:r>
    </w:p>
    <w:p>
      <w:pPr>
        <w:spacing w:before="0" w:after="80"/>
        <w:jc w:val="left"/>
      </w:pPr>
      <w:r>
        <w:rPr>
          <w:rFonts w:ascii="Garamond" w:cs="Garamond" w:eastAsia="Garamond" w:hAnsi="Garamond"/>
          <w:b/>
          <w:bCs/>
          <w:i w:val="false"/>
          <w:iCs w:val="false"/>
          <w:color w:val="C4A95A"/>
          <w:sz w:val="26"/>
          <w:szCs w:val="26"/>
        </w:rPr>
        <w:t xml:space="preserve">T — Tax</w:t>
      </w:r>
    </w:p>
    <w:p>
      <w:pPr>
        <w:spacing w:before="160" w:after="100"/>
        <w:jc w:val="both"/>
      </w:pPr>
      <w:r>
        <w:rPr>
          <w:rFonts w:ascii="Garamond" w:cs="Garamond" w:eastAsia="Garamond" w:hAnsi="Garamond"/>
          <w:b w:val="false"/>
          <w:bCs w:val="false"/>
          <w:i w:val="false"/>
          <w:iCs w:val="false"/>
          <w:color w:val="1A1A1A"/>
          <w:sz w:val="24"/>
          <w:szCs w:val="24"/>
        </w:rPr>
        <w:t xml:space="preserve">Tax is the total cost of a decision — financial, emotional, cognitive, relational, and reputational. It is the friction that reduces the value of every action. Tax includes the obvious costs: marketing spend, time investment, commission concessions. It also includes the invisible costs: the bandwidth consumed by managing a concealment, the energy drained by a client relationship that should have been declined, the opportunity cost of time spent on low-value activities instead of high-value ones. Tax is scored from 0 to 10. Higher Tax scores mean the action is more expensive — in some dimension, visible or not. Tax is displayed in amber.</w:t>
      </w:r>
    </w:p>
    <w:p>
      <w:pPr>
        <w:spacing w:before="160" w:after="100"/>
        <w:jc w:val="both"/>
      </w:pPr>
      <w:r>
        <w:rPr>
          <w:rFonts w:ascii="Garamond" w:cs="Garamond" w:eastAsia="Garamond" w:hAnsi="Garamond"/>
          <w:b w:val="false"/>
          <w:bCs w:val="false"/>
          <w:i w:val="false"/>
          <w:iCs w:val="false"/>
          <w:color w:val="1A1A1A"/>
          <w:sz w:val="24"/>
          <w:szCs w:val="24"/>
        </w:rPr>
        <w:t xml:space="preserve">Tax is the variable most agents undercount. They calculate the visible costs and miss the invisible ones. The Transparency Tax in Estate II, for example, is paid in cognitive bandwidth per conversation — a cost that never appears on any invoice but that compounds across an entire client relationship and produces measurably worse outcomes than the disclosure that eliminates it.</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80"/>
        <w:jc w:val="left"/>
      </w:pPr>
      <w:r>
        <w:rPr>
          <w:rFonts w:ascii="Garamond" w:cs="Garamond" w:eastAsia="Garamond" w:hAnsi="Garamond"/>
          <w:b/>
          <w:bCs/>
          <w:i w:val="false"/>
          <w:iCs w:val="false"/>
          <w:color w:val="C4A95A"/>
          <w:sz w:val="28"/>
          <w:szCs w:val="28"/>
        </w:rPr>
        <w:t xml:space="preserve">The Equation</w:t>
      </w:r>
    </w:p>
    <w:p>
      <w:pPr>
        <w:spacing w:before="160" w:after="100"/>
        <w:jc w:val="both"/>
      </w:pPr>
      <w:r>
        <w:rPr>
          <w:rFonts w:ascii="Garamond" w:cs="Garamond" w:eastAsia="Garamond" w:hAnsi="Garamond"/>
          <w:b w:val="false"/>
          <w:bCs w:val="false"/>
          <w:i w:val="false"/>
          <w:iCs w:val="false"/>
          <w:color w:val="1A1A1A"/>
          <w:sz w:val="24"/>
          <w:szCs w:val="24"/>
        </w:rPr>
        <w:t xml:space="preserve">PROFIT + LOVE − TAX = TRUE VALUE</w:t>
      </w:r>
    </w:p>
    <w:p>
      <w:pPr>
        <w:spacing w:before="160" w:after="100"/>
        <w:jc w:val="both"/>
      </w:pPr>
      <w:r>
        <w:rPr>
          <w:rFonts w:ascii="Garamond" w:cs="Garamond" w:eastAsia="Garamond" w:hAnsi="Garamond"/>
          <w:b w:val="false"/>
          <w:bCs w:val="false"/>
          <w:i w:val="false"/>
          <w:iCs w:val="false"/>
          <w:color w:val="1A1A1A"/>
          <w:sz w:val="24"/>
          <w:szCs w:val="24"/>
        </w:rPr>
        <w:t xml:space="preserve">True Value is what the decision actually produces when the full accounting is run — not just the commission, not just the relationship feeling, but the complete output of every dimension. The agent who makes professional decisions from the full equation — who asks "what does this produce in Profit, Love, and Tax simultaneously?" — is making different decisions than the agent who asks only "what does this pay?" The different decisions produce different careers. The careers compound in opposite directions over a decade.</w:t>
      </w:r>
    </w:p>
    <w:p>
      <w:pPr>
        <w:spacing w:before="160" w:after="0"/>
        <w:jc w:val="left"/>
      </w:pPr>
      <w:r>
        <w:rPr>
          <w:rFonts w:ascii="Garamond" w:cs="Garamond" w:eastAsia="Garamond" w:hAnsi="Garamond"/>
          <w:b w:val="false"/>
          <w:bCs w:val="false"/>
          <w:i w:val="false"/>
          <w:iCs w:val="false"/>
          <w:color w:val="0A0A0A"/>
          <w:sz w:val="24"/>
          <w:szCs w:val="24"/>
        </w:rPr>
        <w:t xml:space="preserve"/>
      </w:r>
    </w:p>
    <w:p>
      <w:pPr>
        <w:spacing w:before="0" w:after="80"/>
        <w:jc w:val="left"/>
      </w:pPr>
      <w:r>
        <w:rPr>
          <w:rFonts w:ascii="Garamond" w:cs="Garamond" w:eastAsia="Garamond" w:hAnsi="Garamond"/>
          <w:b/>
          <w:bCs/>
          <w:i w:val="false"/>
          <w:iCs w:val="false"/>
          <w:color w:val="C4A95A"/>
          <w:sz w:val="28"/>
          <w:szCs w:val="28"/>
        </w:rPr>
        <w:t xml:space="preserve">How to Read the Scoring Tables</w:t>
      </w:r>
    </w:p>
    <w:p>
      <w:pPr>
        <w:spacing w:before="160" w:after="100"/>
        <w:jc w:val="both"/>
      </w:pPr>
      <w:r>
        <w:rPr>
          <w:rFonts w:ascii="Garamond" w:cs="Garamond" w:eastAsia="Garamond" w:hAnsi="Garamond"/>
          <w:b w:val="false"/>
          <w:bCs w:val="false"/>
          <w:i w:val="false"/>
          <w:iCs w:val="false"/>
          <w:color w:val="1A1A1A"/>
          <w:sz w:val="24"/>
          <w:szCs w:val="24"/>
        </w:rPr>
        <w:t xml:space="preserve">Each Estate in this book contains a proof section — a set of scored scenarios that demonstrate the PLT equation in the specific context of that Estate's doctrine. Each row in a scoring table shows a specific professional action or outcome, scored across P (Profit), L (Love), and T (Tax), with an observation describing the specific mechanism at work.</w:t>
      </w:r>
    </w:p>
    <w:p>
      <w:pPr>
        <w:spacing w:before="160" w:after="100"/>
        <w:jc w:val="both"/>
      </w:pPr>
      <w:r>
        <w:rPr>
          <w:rFonts w:ascii="Garamond" w:cs="Garamond" w:eastAsia="Garamond" w:hAnsi="Garamond"/>
          <w:b w:val="false"/>
          <w:bCs w:val="false"/>
          <w:i w:val="false"/>
          <w:iCs w:val="false"/>
          <w:color w:val="1A1A1A"/>
          <w:sz w:val="24"/>
          <w:szCs w:val="24"/>
        </w:rPr>
        <w:t xml:space="preserve">The scores are not academic. They are calibrated to real professional outcomes: referral rates, transaction completion rates, commission preservation, career trajectory over three to five years. A Profit score of 9 with a Love score of 9 and a Tax score of -2 is not an idealized scenario. It is the specific outcome that the practice described in the Estate produces when executed correctly — and the comparison rows show what the alternative produces.</w:t>
      </w:r>
    </w:p>
    <w:p>
      <w:pPr>
        <w:spacing w:before="160" w:after="100"/>
        <w:jc w:val="both"/>
      </w:pPr>
      <w:r>
        <w:rPr>
          <w:rFonts w:ascii="Garamond" w:cs="Garamond" w:eastAsia="Garamond" w:hAnsi="Garamond"/>
          <w:b w:val="false"/>
          <w:bCs w:val="false"/>
          <w:i w:val="false"/>
          <w:iCs w:val="false"/>
          <w:color w:val="1A1A1A"/>
          <w:sz w:val="24"/>
          <w:szCs w:val="24"/>
        </w:rPr>
        <w:t xml:space="preserve">Read the scoring tables as a comparison instrument, not as a grading system. The value is not in the individual score. The value is in the gap between the two paths — the path the doctrine describes and the path most agents are currently running. That gap, multiplied across a career, is the difference the doctrine makes visible.</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20" w:space="20"/>
          <w:right w:val="single" w:color="C4A95A" w:sz="4" w:space="16"/>
        </w:pBdr>
        <w:spacing w:before="300" w:after="300"/>
        <w:ind w:left="360" w:right="360"/>
        <w:jc w:val="center"/>
      </w:pPr>
      <w:r>
        <w:rPr>
          <w:rFonts w:ascii="Garamond" w:cs="Garamond" w:eastAsia="Garamond" w:hAnsi="Garamond"/>
          <w:b w:val="false"/>
          <w:bCs w:val="false"/>
          <w:i/>
          <w:iCs/>
          <w:color w:val="C4A95A"/>
          <w:sz w:val="30"/>
          <w:szCs w:val="30"/>
        </w:rPr>
        <w:t xml:space="preserve">PROFIT + LOVE − TAX = TRUE VALUE. Every Estate is a specific way to change one of these variables. Most change all three.</w:t>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80"/>
        <w:jc w:val="center"/>
      </w:pPr>
      <w:r>
        <w:rPr>
          <w:rFonts w:ascii="Garamond" w:cs="Garamond" w:eastAsia="Garamond" w:hAnsi="Garamond"/>
          <w:b/>
          <w:bCs/>
          <w:i w:val="false"/>
          <w:iCs w:val="false"/>
          <w:color w:val="C4A95A"/>
          <w:sz w:val="52"/>
          <w:szCs w:val="52"/>
        </w:rPr>
        <w:t xml:space="preserve">BOOK I</w:t>
      </w:r>
    </w:p>
    <w:p>
      <w:pPr>
        <w:spacing w:before="0" w:after="100"/>
        <w:jc w:val="center"/>
      </w:pPr>
      <w:r>
        <w:rPr>
          <w:rFonts w:ascii="Garamond" w:cs="Garamond" w:eastAsia="Garamond" w:hAnsi="Garamond"/>
          <w:b/>
          <w:bCs/>
          <w:i w:val="false"/>
          <w:iCs w:val="false"/>
          <w:color w:val="0A0A0A"/>
          <w:sz w:val="56"/>
          <w:szCs w:val="56"/>
        </w:rPr>
        <w:t xml:space="preserve">THE ESTATE OF SIGNAL</w:t>
      </w:r>
    </w:p>
    <w:p>
      <w:pPr>
        <w:pBdr>
          <w:bottom w:val="single" w:color="C4A95A" w:sz="6" w:space="8"/>
        </w:pBdr>
        <w:spacing w:before="0" w:after="200"/>
        <w:jc w:val="center"/>
      </w:pPr>
      <w:r>
        <w:rPr>
          <w:rFonts w:ascii="Garamond" w:cs="Garamond" w:eastAsia="Garamond" w:hAnsi="Garamond"/>
          <w:b w:val="false"/>
          <w:bCs w:val="false"/>
          <w:i/>
          <w:iCs/>
          <w:color w:val="555555"/>
          <w:sz w:val="28"/>
          <w:szCs w:val="28"/>
        </w:rPr>
        <w:t xml:space="preserve">What you are transmitting before you say a single word.</w:t>
      </w:r>
    </w:p>
    <w:p>
      <w:pPr>
        <w:spacing w:before="160" w:after="100"/>
        <w:jc w:val="both"/>
      </w:pPr>
      <w:r>
        <w:rPr>
          <w:rFonts w:ascii="Garamond" w:cs="Garamond" w:eastAsia="Garamond" w:hAnsi="Garamond"/>
          <w:b w:val="false"/>
          <w:bCs w:val="false"/>
          <w:i w:val="false"/>
          <w:iCs w:val="false"/>
          <w:color w:val="1A1A1A"/>
          <w:sz w:val="24"/>
          <w:szCs w:val="24"/>
        </w:rPr>
        <w:t xml:space="preserve">Before any technique. Before any script. Before any presentation. Before any negotiation strategy. There is a signal. The signal is the complete broadcast of your internal state into the environment of the interaction. It travels faster than words, persists longer than impressions, and is read — correctly — by every human nervous system it encounters. The agents in this book who produce different outcomes than every other agent in their market are producing different signals. Everything else they do is downstream of that difference. Begin here.</w:t>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I</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Pre-Decision</w:t>
      </w:r>
    </w:p>
    <w:p>
      <w:pPr>
        <w:spacing w:before="60" w:after="300"/>
        <w:jc w:val="left"/>
      </w:pPr>
      <w:r>
        <w:rPr>
          <w:rFonts w:ascii="Garamond" w:cs="Garamond" w:eastAsia="Garamond" w:hAnsi="Garamond"/>
          <w:b w:val="false"/>
          <w:bCs w:val="false"/>
          <w:i/>
          <w:iCs/>
          <w:color w:val="555555"/>
          <w:sz w:val="26"/>
          <w:szCs w:val="26"/>
        </w:rPr>
        <w:t xml:space="preserve">The client decides whether you are the agent in the first ninety seconds. Everything that follows is the client assembling evidence to support a conclusion they have already reached. The presentation does not produce the decision. The signal does.</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Every transaction is decided before the first word of the presentation. The agent who understands what is being communicated in the silence before the speaking wins more transactions than the agent who has memorized the perfect opening line.</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There is a sequence of events that occurs in every first client encounter — by phone, in the open house, at the listing appointment — that the vast majority of agents have never mapped because it happens in a register that no training program has ever addressed. It happens in the first ninety seconds. And by the time it is complete, the client's nervous system has produced a verdict that the client's conscious mind will spend the rest of the interaction finding reasons to confirm.</w:t>
      </w:r>
    </w:p>
    <w:p>
      <w:pPr>
        <w:spacing w:before="160" w:after="100"/>
        <w:jc w:val="both"/>
      </w:pPr>
      <w:r>
        <w:rPr>
          <w:rFonts w:ascii="Garamond" w:cs="Garamond" w:eastAsia="Garamond" w:hAnsi="Garamond"/>
          <w:b w:val="false"/>
          <w:bCs w:val="false"/>
          <w:i w:val="false"/>
          <w:iCs w:val="false"/>
          <w:color w:val="1A1A1A"/>
          <w:sz w:val="24"/>
          <w:szCs w:val="24"/>
        </w:rPr>
        <w:t xml:space="preserve">The verdict is not about your credentials. It is not about your years of experience, your production ranking, your market share statistics, or your brokerage affiliation. The verdict is about one variable, assessed through dozens of simultaneous micro-signals before you have finished your first sentence: do you need this deal.</w:t>
      </w:r>
    </w:p>
    <w:p>
      <w:pPr>
        <w:spacing w:before="160" w:after="100"/>
        <w:jc w:val="both"/>
      </w:pPr>
      <w:r>
        <w:rPr>
          <w:rFonts w:ascii="Garamond" w:cs="Garamond" w:eastAsia="Garamond" w:hAnsi="Garamond"/>
          <w:b w:val="false"/>
          <w:bCs w:val="false"/>
          <w:i w:val="false"/>
          <w:iCs w:val="false"/>
          <w:color w:val="1A1A1A"/>
          <w:sz w:val="24"/>
          <w:szCs w:val="24"/>
        </w:rPr>
        <w:t xml:space="preserve">The human nervous system evolved — over hundreds of thousands of years, in social environments where the stakes of misreading another person's intentions were genuinely lethal — to detect the specific quality of behavior that emerges when someone needs something from you. This detection system operates beneath conscious analysis. It assembles information from sources the conscious mind cannot monitor: the pace of speech and its quality of control, the direction and steadiness of eye contact, the presence or absence of micro-tensions that accompany suppressed anxiety, the specific way the body occupies space, the cadence of breathing, the ratio of listening to speaking in the first two minutes, how many times the agent references their own agenda versus the client's situation.</w:t>
      </w:r>
    </w:p>
    <w:p>
      <w:pPr>
        <w:spacing w:before="160" w:after="100"/>
        <w:jc w:val="both"/>
      </w:pPr>
      <w:r>
        <w:rPr>
          <w:rFonts w:ascii="Garamond" w:cs="Garamond" w:eastAsia="Garamond" w:hAnsi="Garamond"/>
          <w:b w:val="false"/>
          <w:bCs w:val="false"/>
          <w:i w:val="false"/>
          <w:iCs w:val="false"/>
          <w:color w:val="1A1A1A"/>
          <w:sz w:val="24"/>
          <w:szCs w:val="24"/>
        </w:rPr>
        <w:t xml:space="preserve">The output of this detection system is a feeling the client cannot explain in rational terms. If pressed, they will translate it: "They seemed confident" or "Something felt off" or "I just trusted them immediately." What they are actually reporting is the output of the most sophisticated social detection system in the known universe — the read that the human nervous system performs on another human being in real time, continuously, with an accuracy that no conscious analysis can approach.</w:t>
      </w:r>
    </w:p>
    <w:p>
      <w:pPr>
        <w:spacing w:before="160" w:after="100"/>
        <w:jc w:val="both"/>
      </w:pPr>
      <w:r>
        <w:rPr>
          <w:rFonts w:ascii="Garamond" w:cs="Garamond" w:eastAsia="Garamond" w:hAnsi="Garamond"/>
          <w:b w:val="false"/>
          <w:bCs w:val="false"/>
          <w:i w:val="false"/>
          <w:iCs w:val="false"/>
          <w:color w:val="1A1A1A"/>
          <w:sz w:val="24"/>
          <w:szCs w:val="24"/>
        </w:rPr>
        <w:t xml:space="preserve">The agent who needs the deal produces a signal this detection system reads as: this person will tell me what I want to hear rather than what is true. This is not a character flaw. It is a mechanical consequence of financial scarcity. The agent who cannot afford to lose this listing will — unconsciously, automatically, without deciding to — make micro-adjustments that the need produces: slightly faster agreement, slightly less honest price feedback, the presentation organized around the client's approval rather than their accurate understanding of their situation. These adjustments are invisible to the agent making them. They are perfectly visible to the client's nervous system.</w:t>
      </w:r>
    </w:p>
    <w:p>
      <w:pPr>
        <w:spacing w:before="160" w:after="100"/>
        <w:jc w:val="both"/>
      </w:pPr>
      <w:r>
        <w:rPr>
          <w:rFonts w:ascii="Garamond" w:cs="Garamond" w:eastAsia="Garamond" w:hAnsi="Garamond"/>
          <w:b w:val="false"/>
          <w:bCs w:val="false"/>
          <w:i w:val="false"/>
          <w:iCs w:val="false"/>
          <w:color w:val="1A1A1A"/>
          <w:sz w:val="24"/>
          <w:szCs w:val="24"/>
        </w:rPr>
        <w:t xml:space="preserve">The agent who does not need the deal produces the inverse signal. Not because they perform confidence — performance is detectable and counterproductive. Because the genuine absence of need changes the behavior in the same unconscious way that need changes it. The agent with genuine financial runway takes longer pauses. They are willing to say something the client does not want to hear because the consequence of saying it is not catastrophic. They ask more questions and offer fewer answers because they are genuinely curious rather than nervously managing. They occupy space with the specific ease of someone who is there because they chose to be, not because they are afraid of what happens if the meeting goes wrong.</w:t>
      </w:r>
    </w:p>
    <w:p>
      <w:pPr>
        <w:spacing w:before="160" w:after="100"/>
        <w:jc w:val="both"/>
      </w:pPr>
      <w:r>
        <w:rPr>
          <w:rFonts w:ascii="Garamond" w:cs="Garamond" w:eastAsia="Garamond" w:hAnsi="Garamond"/>
          <w:b w:val="false"/>
          <w:bCs w:val="false"/>
          <w:i w:val="false"/>
          <w:iCs w:val="false"/>
          <w:color w:val="1A1A1A"/>
          <w:sz w:val="24"/>
          <w:szCs w:val="24"/>
        </w:rPr>
        <w:t xml:space="preserve">This is the foundational truth of the entire doctrine: the surplus position — the financial runway that makes the need disappear — is not a financial planning objective. It is a professional performance instrument. Every dollar of genuine financial runway is a dollar invested in the signal quality that determines how every client interaction begins. The agent with six months of liquid reserves before any commission arrives is broadcasting a different signal than the agent whose next commission is the difference between keeping the lights on and a conversation with a creditor. The market cannot see the bank account. The market can see everything the bank account produces in how the agent carries themselves.</w:t>
      </w:r>
    </w:p>
    <w:p>
      <w:pPr>
        <w:spacing w:before="160" w:after="100"/>
        <w:jc w:val="both"/>
      </w:pPr>
      <w:r>
        <w:rPr>
          <w:rFonts w:ascii="Garamond" w:cs="Garamond" w:eastAsia="Garamond" w:hAnsi="Garamond"/>
          <w:b w:val="false"/>
          <w:bCs w:val="false"/>
          <w:i w:val="false"/>
          <w:iCs w:val="false"/>
          <w:color w:val="1A1A1A"/>
          <w:sz w:val="24"/>
          <w:szCs w:val="24"/>
        </w:rPr>
        <w:t xml:space="preserve">The PLT mechanics of the pre-decision are direct and compounding. Profit surplus produces the behavioral signal of abundance. The abundance signal is read as trustworthiness. Trustworthiness produces the client's willingness to hear honest information. That willingness is the foundation of the only kind of advice that actually serves the client. Advice that serves the client produces the outcome the client needed. The outcome produces the referral. The referral builds the reputation. The reputation fills the pipeline. The pipeline builds the surplus. The surplus maintains the signal. The compound never stops — in either direction. The agent who starts from deficit compounds deficit. The agent who starts from surplus compounds surplus. The intervening variable is the signal. The signal is determined by the position. The position is a decision.</w:t>
      </w:r>
    </w:p>
    <w:p>
      <w:pPr>
        <w:spacing w:before="160" w:after="100"/>
        <w:jc w:val="both"/>
      </w:pPr>
      <w:r>
        <w:rPr>
          <w:rFonts w:ascii="Garamond" w:cs="Garamond" w:eastAsia="Garamond" w:hAnsi="Garamond"/>
          <w:b w:val="false"/>
          <w:bCs w:val="false"/>
          <w:i w:val="false"/>
          <w:iCs w:val="false"/>
          <w:color w:val="1A1A1A"/>
          <w:sz w:val="24"/>
          <w:szCs w:val="24"/>
        </w:rPr>
        <w:t xml:space="preserve">Most agents understand this intuitively in their best months and forget it completely in their worst months. The doctrine requires that it be understood structurally — as the permanent foundational variable of the entire career — rather than as the feeling that comes and goes with the pipeline. The surplus is not the reward of the successful career. It is the precondition for the successful career. Agents who wait until success to build it have reversed the sequence and will wait indefinitely.</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Calculate your actual liquid financial runway today. Not approximate — exact. Liquid reserves only: checking, savings, money market. Do not include equity in properties, retirement accounts that require penalty to access, or available credit lines. Express the result as months of actual expenses covered at your current spending level. Write the number. This is your current signal quality score.</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If your runway is under four months, acknowledge that every interaction you are currently having is being conducted from a need-based position. This is not a moral judgment — it is an operational reality. The signal you are broadcasting is costing you transactions that would have been available from a different position. The first investment priority is not better scripts, better marketing, or better presentation materials. It is the financial runway that changes the signal. Everything else is downstream.</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The Surplus Building Protocol: identify your genuine monthly survival floor — not your current lifestyle, the floor that keeps operations running. Calculate the gap between current liquid reserves and six months of floor expenses. Design the specific monthly contribution plan to close that gap within twelve months. This plan is more important than any marketing campaign. The marketing produces leads. The runway determines what those leads experience when they arrive.</w:t>
      </w:r>
    </w:p>
    <w:p>
      <w:pPr>
        <w:spacing w:before="90" w:after="70"/>
        <w:ind w:left="220"/>
      </w:pPr>
      <w:r>
        <w:rPr>
          <w:rFonts w:ascii="Garamond" w:cs="Garamond" w:eastAsia="Garamond" w:hAnsi="Garamond"/>
          <w:b/>
          <w:bCs/>
          <w:i w:val="false"/>
          <w:iCs w:val="false"/>
          <w:color w:val="C4A95A"/>
          <w:sz w:val="22"/>
          <w:szCs w:val="22"/>
        </w:rPr>
        <w:t xml:space="preserve">4.  </w:t>
      </w:r>
      <w:r>
        <w:rPr>
          <w:rFonts w:ascii="Garamond" w:cs="Garamond" w:eastAsia="Garamond" w:hAnsi="Garamond"/>
          <w:b w:val="false"/>
          <w:bCs w:val="false"/>
          <w:i w:val="false"/>
          <w:iCs w:val="false"/>
          <w:color w:val="1A1A1A"/>
          <w:sz w:val="22"/>
          <w:szCs w:val="22"/>
        </w:rPr>
        <w:t xml:space="preserve">The Zero Consequence Review: the week before any significant listing appointment or buyer consultation, run this specific exercise privately. Ask: if I do not get this client, what specifically happens? Write the actual answer. Not the catastrophized version and not the minimized version — the actual financial and operational consequence of not getting this specific client at this moment. If the answer involves genuine hardship, the signal you will generate in the room is the wrong signal. Address the financial position before addressing the presentation content.</w:t>
      </w:r>
    </w:p>
    <w:p>
      <w:pPr>
        <w:spacing w:before="90" w:after="70"/>
        <w:ind w:left="220"/>
      </w:pPr>
      <w:r>
        <w:rPr>
          <w:rFonts w:ascii="Garamond" w:cs="Garamond" w:eastAsia="Garamond" w:hAnsi="Garamond"/>
          <w:b/>
          <w:bCs/>
          <w:i w:val="false"/>
          <w:iCs w:val="false"/>
          <w:color w:val="C4A95A"/>
          <w:sz w:val="22"/>
          <w:szCs w:val="22"/>
        </w:rPr>
        <w:t xml:space="preserve">5.  </w:t>
      </w:r>
      <w:r>
        <w:rPr>
          <w:rFonts w:ascii="Garamond" w:cs="Garamond" w:eastAsia="Garamond" w:hAnsi="Garamond"/>
          <w:b w:val="false"/>
          <w:bCs w:val="false"/>
          <w:i w:val="false"/>
          <w:iCs w:val="false"/>
          <w:color w:val="1A1A1A"/>
          <w:sz w:val="22"/>
          <w:szCs w:val="22"/>
        </w:rPr>
        <w:t xml:space="preserve">The Abundance Calibration: on the morning of any significant client interaction, do not rehearse the presentation content. Rehearse the genuine indifference. Spend ten minutes with your genuine alternatives: the other clients in your pipeline, the financial runway that makes this client a choice not a necessity, the two or three things you know about the market that this client genuinely needs to hear regardless of whether hearing them produces the outcome you want. Enter the room as someone arriving to deliver something valuable — not to win something necessary. The difference in these two internal states produces a different signal before you open your mouth.</w:t>
      </w:r>
    </w:p>
    <w:p>
      <w:pPr>
        <w:spacing w:before="90" w:after="70"/>
        <w:ind w:left="220"/>
      </w:pPr>
      <w:r>
        <w:rPr>
          <w:rFonts w:ascii="Garamond" w:cs="Garamond" w:eastAsia="Garamond" w:hAnsi="Garamond"/>
          <w:b/>
          <w:bCs/>
          <w:i w:val="false"/>
          <w:iCs w:val="false"/>
          <w:color w:val="C4A95A"/>
          <w:sz w:val="22"/>
          <w:szCs w:val="22"/>
        </w:rPr>
        <w:t xml:space="preserve">6.  </w:t>
      </w:r>
      <w:r>
        <w:rPr>
          <w:rFonts w:ascii="Garamond" w:cs="Garamond" w:eastAsia="Garamond" w:hAnsi="Garamond"/>
          <w:b w:val="false"/>
          <w:bCs w:val="false"/>
          <w:i w:val="false"/>
          <w:iCs w:val="false"/>
          <w:color w:val="1A1A1A"/>
          <w:sz w:val="22"/>
          <w:szCs w:val="22"/>
        </w:rPr>
        <w:t xml:space="preserve">The Ninety-Second Discipline: in the first ninety seconds of any client interaction, the only agenda is genuine presence. Not rapport-building technique. Not the opening of prepared remarks. Genuine attention to the specific human in front of you — what is their energy today, what are they holding, what question is underneath the question they are about to ask? The agent who spends the first ninety seconds in genuine attention rather than in mental preparation for the pitch is generating a signal that almost no agent in any market is generating. The client feels it as being seen before being sold. Being seen before being sold is the rarest experience available in a professional interaction. The client who experiences it does not look for another agent.</w:t>
      </w:r>
    </w:p>
    <w:p>
      <w:pPr>
        <w:spacing w:before="90" w:after="70"/>
        <w:ind w:left="220"/>
      </w:pPr>
      <w:r>
        <w:rPr>
          <w:rFonts w:ascii="Garamond" w:cs="Garamond" w:eastAsia="Garamond" w:hAnsi="Garamond"/>
          <w:b/>
          <w:bCs/>
          <w:i w:val="false"/>
          <w:iCs w:val="false"/>
          <w:color w:val="C4A95A"/>
          <w:sz w:val="22"/>
          <w:szCs w:val="22"/>
        </w:rPr>
        <w:t xml:space="preserve">7.  </w:t>
      </w:r>
      <w:r>
        <w:rPr>
          <w:rFonts w:ascii="Garamond" w:cs="Garamond" w:eastAsia="Garamond" w:hAnsi="Garamond"/>
          <w:b w:val="false"/>
          <w:bCs w:val="false"/>
          <w:i w:val="false"/>
          <w:iCs w:val="false"/>
          <w:color w:val="1A1A1A"/>
          <w:sz w:val="22"/>
          <w:szCs w:val="22"/>
        </w:rPr>
        <w:t xml:space="preserve">The Signal Maintenance Practice: every Sunday, update the Signal Ledger. Three entries: (1) Exact liquid runway in months. (2) Score 1-10 representing genuine indifference to losing your next prospective client — lower score means the financial consequence is lower, which means higher signal quality. (3) One specific action this week that moves the second score up by one point. Review the Ledger weekly for the next 52 weeks. At week 52, compare the first entry to the last. The improvement in the number is the improvement in the signal. The improvement in the signal is the improvement in the career.</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Two agents. Same market. Same listing appointment. Same house. Different positions.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A: 9-month runway. Zero Consequence Review completed. Enters room from abundance.</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7</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9.0</w:t>
      </w:r>
      <w:r>
        <w:rPr>
          <w:rFonts w:ascii="Garamond" w:cs="Garamond" w:eastAsia="Garamond" w:hAnsi="Garamond"/>
          <w:b w:val="false"/>
          <w:bCs w:val="false"/>
          <w:i/>
          <w:iCs/>
          <w:color w:val="555555"/>
          <w:sz w:val="18"/>
          <w:szCs w:val="18"/>
        </w:rPr>
        <w:t xml:space="preserve">  — Signal: present, controlled, genuinely curious. Eyes steady. Pace deliberate. No anxiety tell.</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A opens: "Before I show you anything — what does this sale need to produce for you?"</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10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10.5</w:t>
      </w:r>
      <w:r>
        <w:rPr>
          <w:rFonts w:ascii="Garamond" w:cs="Garamond" w:eastAsia="Garamond" w:hAnsi="Garamond"/>
          <w:b w:val="false"/>
          <w:bCs w:val="false"/>
          <w:i/>
          <w:iCs/>
          <w:color w:val="555555"/>
          <w:sz w:val="18"/>
          <w:szCs w:val="18"/>
        </w:rPr>
        <w:t xml:space="preserve">  — Genuine question. Client receives it as the rarest thing: a professional asking what they actually need before pitching.</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A on price: delivers the honest number, not the number the seller wants to hear.</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10.5</w:t>
      </w:r>
      <w:r>
        <w:rPr>
          <w:rFonts w:ascii="Garamond" w:cs="Garamond" w:eastAsia="Garamond" w:hAnsi="Garamond"/>
          <w:b w:val="false"/>
          <w:bCs w:val="false"/>
          <w:i/>
          <w:iCs/>
          <w:color w:val="555555"/>
          <w:sz w:val="18"/>
          <w:szCs w:val="18"/>
        </w:rPr>
        <w:t xml:space="preserve">  — Costs something in the moment. Produces trust that no credential or track record can replicate.</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A on commission: holds standard rate. No anxiety. No hedging.</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-1</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9.0</w:t>
      </w:r>
      <w:r>
        <w:rPr>
          <w:rFonts w:ascii="Garamond" w:cs="Garamond" w:eastAsia="Garamond" w:hAnsi="Garamond"/>
          <w:b w:val="false"/>
          <w:bCs w:val="false"/>
          <w:i/>
          <w:iCs/>
          <w:color w:val="555555"/>
          <w:sz w:val="18"/>
          <w:szCs w:val="18"/>
        </w:rPr>
        <w:t xml:space="preserve">  — Rate defended not by argument but by position. Client senses the agent does not need to negotiate.</w:t>
      </w:r>
    </w:p>
    <w:p>
      <w:pPr>
        <w:spacing w:before="10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B: 5-week runway. Commission overdue. Enters room from scarcity.</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1</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-4.0</w:t>
      </w:r>
      <w:r>
        <w:rPr>
          <w:rFonts w:ascii="Garamond" w:cs="Garamond" w:eastAsia="Garamond" w:hAnsi="Garamond"/>
          <w:b w:val="false"/>
          <w:bCs w:val="false"/>
          <w:i/>
          <w:iCs/>
          <w:color w:val="555555"/>
          <w:sz w:val="18"/>
          <w:szCs w:val="18"/>
        </w:rPr>
        <w:t xml:space="preserve">  — Signal: slightly fast, leaning forward, eyes negotiating before the first word. Detected in 40 seconds.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B opens with 52-point marketing presentation. Client feels processed, not seen.</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1</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-5.0</w:t>
      </w:r>
      <w:r>
        <w:rPr>
          <w:rFonts w:ascii="Garamond" w:cs="Garamond" w:eastAsia="Garamond" w:hAnsi="Garamond"/>
          <w:b w:val="false"/>
          <w:bCs w:val="false"/>
          <w:i/>
          <w:iCs/>
          <w:color w:val="555555"/>
          <w:sz w:val="18"/>
          <w:szCs w:val="18"/>
        </w:rPr>
        <w:t xml:space="preserve">  — Performance detected immediately. Client goes polite. Decision is already made before the price conversation.</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B on price: gives the seller the number they want to hear.</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-7</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-7.0</w:t>
      </w:r>
      <w:r>
        <w:rPr>
          <w:rFonts w:ascii="Garamond" w:cs="Garamond" w:eastAsia="Garamond" w:hAnsi="Garamond"/>
          <w:b w:val="false"/>
          <w:bCs w:val="false"/>
          <w:i/>
          <w:iCs/>
          <w:color w:val="555555"/>
          <w:sz w:val="18"/>
          <w:szCs w:val="18"/>
        </w:rPr>
        <w:t xml:space="preserve">  — Wins the listing. Loses the transaction. The number the market rejects will cost both of them 90 days.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B on commission: reduces rate when asked. Concedes in under 60 seconds.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1</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-4</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-5.5</w:t>
      </w:r>
      <w:r>
        <w:rPr>
          <w:rFonts w:ascii="Garamond" w:cs="Garamond" w:eastAsia="Garamond" w:hAnsi="Garamond"/>
          <w:b w:val="false"/>
          <w:bCs w:val="false"/>
          <w:i/>
          <w:iCs/>
          <w:color w:val="555555"/>
          <w:sz w:val="18"/>
          <w:szCs w:val="18"/>
        </w:rPr>
        <w:t xml:space="preserve">  — The concession communicates what the rate couldn't: I need this more than the rate is worth. Client notes it.</w:t>
      </w:r>
    </w:p>
    <w:p>
      <w:pPr>
        <w:spacing w:before="10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OUTCOME Agent A: listing won at full commission, accurate price. Sells in 19 days.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Seller refers two colleagues. Three-transaction value: $34,000+.</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OUTCOME Agent B: listing won at reduced commission, aspirational price.</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71 days on market. Two price reductions. Seller frustrated. Zero referrals. One transaction: $7,200.</w:t>
      </w:r>
    </w:p>
    <w:p>
      <w:pPr>
        <w:spacing w:before="10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3 compound: same original production level.</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Agent A: $290,000 GCI. Agent B: $165,000 GCI. The signal difference — not the talent difference — produces the compound.</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What is your exact liquid runway right now — not approximate, exact — and what specific signal is that number broadcasting to every client you have sat across from in the last sixty days? Not what you intended to broadcast. What it actually produced.</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Signal Ledger</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Every Sunday evening, three entries. (1) Exact liquid runway in months — to the decimal. (2) Score 1-10: if your next prospective client decided not to work with you, what is the genuine financial consequence? The lower the score, the higher the signal quality. (3) One specific action this week that moves that score up by one point. Not a financial planning action necessarily — a presence action, a pipeline action, a surplus action. Review every Sunday for 52 weeks. At week 52, compare week one to week 52. The number tells you what the signal has become. The signal tells you what the career has become.</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II</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Tax of Transparency</w:t>
      </w:r>
    </w:p>
    <w:p>
      <w:pPr>
        <w:spacing w:before="60" w:after="300"/>
        <w:jc w:val="left"/>
      </w:pPr>
      <w:r>
        <w:rPr>
          <w:rFonts w:ascii="Garamond" w:cs="Garamond" w:eastAsia="Garamond" w:hAnsi="Garamond"/>
          <w:b w:val="false"/>
          <w:bCs w:val="false"/>
          <w:i/>
          <w:iCs/>
          <w:color w:val="555555"/>
          <w:sz w:val="26"/>
          <w:szCs w:val="26"/>
        </w:rPr>
        <w:t xml:space="preserve">Every truth you are currently managing in a client relationship is generating a Tax that compounds silently across every interaction. The concealment costs more than the disclosure in every single case. The mathematics are not close and most agents have never run them.</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voluntary disclosure of a limitation before the client discovers it converts that limitation into a trust deposit worth ten times what the limitation cost. The managed limitation, discovered by the client, converts into a relationship-ending withdrawal. There is no middle outcome.</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In the PLT framework, Tax is any expenditure of resources — financial, cognitive, emotional, relational — that does not generate a corresponding return in Profit or Love. The Tax of concealment is among the most expensive and least visible taxes in the agent's professional life because it is paid continuously, in small denominations, across every interaction in which the concealment is active. It never appears on any income statement. It appears in the specific quality of professional relationships that never quite reach the depth they should, in the referral that never came from the client who should have sent it, in the transaction that fell apart at the moment the managed truth became unavoidable.</w:t>
      </w:r>
    </w:p>
    <w:p>
      <w:pPr>
        <w:spacing w:before="160" w:after="100"/>
        <w:jc w:val="both"/>
      </w:pPr>
      <w:r>
        <w:rPr>
          <w:rFonts w:ascii="Garamond" w:cs="Garamond" w:eastAsia="Garamond" w:hAnsi="Garamond"/>
          <w:b w:val="false"/>
          <w:bCs w:val="false"/>
          <w:i w:val="false"/>
          <w:iCs w:val="false"/>
          <w:color w:val="1A1A1A"/>
          <w:sz w:val="24"/>
          <w:szCs w:val="24"/>
        </w:rPr>
        <w:t xml:space="preserve">Every agent is managing concealments. Not through deliberate dishonesty — most agents are not consciously dishonest. Through the universal human tendency to present a slightly better version of circumstances than the circumstances warrant, to defer the difficult disclosure in the hope that the situation resolves before it must be named, to organize professional communication around the client's comfort rather than around the information the client needs to make a good decision. These tendencies are universal. Their cost in a professional context is specific and measurable.</w:t>
      </w:r>
    </w:p>
    <w:p>
      <w:pPr>
        <w:spacing w:before="160" w:after="100"/>
        <w:jc w:val="both"/>
      </w:pPr>
      <w:r>
        <w:rPr>
          <w:rFonts w:ascii="Garamond" w:cs="Garamond" w:eastAsia="Garamond" w:hAnsi="Garamond"/>
          <w:b w:val="false"/>
          <w:bCs w:val="false"/>
          <w:i w:val="false"/>
          <w:iCs w:val="false"/>
          <w:color w:val="1A1A1A"/>
          <w:sz w:val="24"/>
          <w:szCs w:val="24"/>
        </w:rPr>
        <w:t xml:space="preserve">The concealment generates Tax through three distinct mechanisms that compound across the relationship. The first is cognitive bandwidth consumption. The agent managing a concealment in a conversation has less bandwidth available for the conversation itself. They are processing two streams simultaneously: the content of the interaction and the real-time management of the gap between what is being presented and what is true. This dual processing produces a specific quality of reduced presence — a slight delay in responses, a higher frequency of questions deflected rather than answered, a quality of partial attention the client reads as distraction without being able to name the source.</w:t>
      </w:r>
    </w:p>
    <w:p>
      <w:pPr>
        <w:spacing w:before="160" w:after="100"/>
        <w:jc w:val="both"/>
      </w:pPr>
      <w:r>
        <w:rPr>
          <w:rFonts w:ascii="Garamond" w:cs="Garamond" w:eastAsia="Garamond" w:hAnsi="Garamond"/>
          <w:b w:val="false"/>
          <w:bCs w:val="false"/>
          <w:i w:val="false"/>
          <w:iCs w:val="false"/>
          <w:color w:val="1A1A1A"/>
          <w:sz w:val="24"/>
          <w:szCs w:val="24"/>
        </w:rPr>
        <w:t xml:space="preserve">The second mechanism is advice distortion. The agent managing a concealment will unconsciously organize professional advice around protecting the concealment — recommending courses of action that keep the conversation away from the thing being managed rather than courses of action that most serve the client. The agent who is new to the neighborhood and managing that gap gives more general advice and less neighborhood-specific advice than the situation warrants. The agent managing three recent difficult transactions shapes their risk assessment toward outcomes that avoid revisiting their recent pattern. The advice is distorted by the management, always in the direction of protecting the concealment rather than serving the client. The client receives subtly worse advice and does not know why.</w:t>
      </w:r>
    </w:p>
    <w:p>
      <w:pPr>
        <w:spacing w:before="160" w:after="100"/>
        <w:jc w:val="both"/>
      </w:pPr>
      <w:r>
        <w:rPr>
          <w:rFonts w:ascii="Garamond" w:cs="Garamond" w:eastAsia="Garamond" w:hAnsi="Garamond"/>
          <w:b w:val="false"/>
          <w:bCs w:val="false"/>
          <w:i w:val="false"/>
          <w:iCs w:val="false"/>
          <w:color w:val="1A1A1A"/>
          <w:sz w:val="24"/>
          <w:szCs w:val="24"/>
        </w:rPr>
        <w:t xml:space="preserve">The third mechanism is trust erosion. The client's detection system — the same one described in Estate I — reads the specific energy of concealment as something-being-managed even when it cannot identify what is being managed. The reading produces a gradual, consistent, imperceptible-in-any-single-interaction degradation of the trust account. Not a dramatic collapse. A slow leak. The client at the end of a relationship built on managed information is less satisfied, less loyal, and less likely to refer than the transaction quality alone would predict. The agent cannot trace the deficit to any specific moment because no specific moment was its source. The source was the accumulation of small management Taxes across dozens of interactions.</w:t>
      </w:r>
    </w:p>
    <w:p>
      <w:pPr>
        <w:spacing w:before="160" w:after="100"/>
        <w:jc w:val="both"/>
      </w:pPr>
      <w:r>
        <w:rPr>
          <w:rFonts w:ascii="Garamond" w:cs="Garamond" w:eastAsia="Garamond" w:hAnsi="Garamond"/>
          <w:b w:val="false"/>
          <w:bCs w:val="false"/>
          <w:i w:val="false"/>
          <w:iCs w:val="false"/>
          <w:color w:val="1A1A1A"/>
          <w:sz w:val="24"/>
          <w:szCs w:val="24"/>
        </w:rPr>
        <w:t xml:space="preserve">The counterintuitive doctrine that changes the entire dynamic: the voluntary disclosure of a limitation — offered before the client discovers it, accompanied by a specific plan to address it — generates a Love account deposit that dwarfs the cost of the limitation itself. Not because clients are unusually forgiving of limitations. Because they are genuinely starved for professionals who tell the truth at personal cost. The agent who says "before we go any further, I want to share something about my situation that is relevant to whether I'm the right person for this" — and then names the specific limitation honestly — has done something so rare in any professional context that the client's detection system shifts from passive scan to active positive signal: this person is managing nothing. This person tells the truth when it costs them. This person can be trusted with information I cannot afford to be mishandled.</w:t>
      </w:r>
    </w:p>
    <w:p>
      <w:pPr>
        <w:spacing w:before="160" w:after="100"/>
        <w:jc w:val="both"/>
      </w:pPr>
      <w:r>
        <w:rPr>
          <w:rFonts w:ascii="Garamond" w:cs="Garamond" w:eastAsia="Garamond" w:hAnsi="Garamond"/>
          <w:b w:val="false"/>
          <w:bCs w:val="false"/>
          <w:i w:val="false"/>
          <w:iCs w:val="false"/>
          <w:color w:val="1A1A1A"/>
          <w:sz w:val="24"/>
          <w:szCs w:val="24"/>
        </w:rPr>
        <w:t xml:space="preserve">The specific mechanics of why the disclosure works at the level it works: the human nervous system is calibrated not just to detect concealment but to reward disclosure. The social evolution that produced the concealment detector also produced the disclosure reward — the specific positive response to the person who volunteers information that costs them. This reward is not proportional to the content of the disclosure. It is proportional to the cost of making it. The agent who discloses a minor limitation at significant apparent cost receives a disproportionate trust deposit. The agent who discloses a major limitation at the same apparent cost receives an even more disproportionate deposit. The calculation that most agents run — "the cost of the disclosure is higher than the cost of the management" — reverses the actual mathematics. The disclosure is always the lower-cost position when the full relational accounting is run.</w:t>
      </w:r>
    </w:p>
    <w:p>
      <w:pPr>
        <w:spacing w:before="160" w:after="100"/>
        <w:jc w:val="both"/>
      </w:pPr>
      <w:r>
        <w:rPr>
          <w:rFonts w:ascii="Garamond" w:cs="Garamond" w:eastAsia="Garamond" w:hAnsi="Garamond"/>
          <w:b w:val="false"/>
          <w:bCs w:val="false"/>
          <w:i w:val="false"/>
          <w:iCs w:val="false"/>
          <w:color w:val="1A1A1A"/>
          <w:sz w:val="24"/>
          <w:szCs w:val="24"/>
        </w:rPr>
        <w:t xml:space="preserve">The PLT arithmetic of a single managed concealment over a six-month client relationship: the ongoing Tax of the management runs at approximately 6-8 points per interaction. In a typical client relationship with twenty-four significant interactions, the total Tax is 144-192 Tax units. The Love generated in a relationship under active management is systematically lower than in a transparent relationship — estimates based on observed referral differentials suggest a 40-60% reduction in Love generation per interaction. The disclosure of the same concealment, made at the beginning of the relationship, carries a one-time Tax of approximately 3 points and generates an immediate Love deposit of 8-10 points. The two positions over six months: management produces 144-192 Tax, reduced Love; disclosure produces 3 Tax, 8-10 Love bonus, then full Love generation for the remaining relationship. The mathematics are not close.</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Run the Transparency Inventory before every new client relationship. Sit privately for ten minutes and list every truth about your current situation you are planning to manage rather than disclose in this specific relationship. Be exhaustive: market knowledge gaps, current pipeline pressure, transactions that did not go well, areas where your capacity is limited, personal circumstances that might affect availability or judgment. This list exists whether you write it or not. Writing it converts it from an unconscious drain into a managed decision you can evaluate rationally.</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For each item on the Transparency Inventory, apply the three-question Disclosure Calculus. (1) If this client discovers this truth on their own, what is the relationship consequence? Rate 1-10. (2) If I disclose proactively, what is the immediate discomfort cost? Rate 1-10. (3) What is the ongoing bandwidth Tax of managing this truth per interaction? Rate 1-10. Simple rule: if answer one plus answer three exceeds answer two, disclose. In most cases — in the vast majority of cases when this calculus is run honestly — the disclosure wins by a significant margin.</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The Disclosure Opening: the single most trust-generating sentence available in any professional context: "Before we go any further, I want to share something about my situation that I think is relevant to whether I'm the right person for this." This sentence, followed by the honest disclosure, followed by the specific plan to address the limitation, produces a quality of trust that no credential or track record can replicate. It requires thirty seconds. It changes the relationship for its entire duration.</w:t>
      </w:r>
    </w:p>
    <w:p>
      <w:pPr>
        <w:spacing w:before="90" w:after="70"/>
        <w:ind w:left="220"/>
      </w:pPr>
      <w:r>
        <w:rPr>
          <w:rFonts w:ascii="Garamond" w:cs="Garamond" w:eastAsia="Garamond" w:hAnsi="Garamond"/>
          <w:b/>
          <w:bCs/>
          <w:i w:val="false"/>
          <w:iCs w:val="false"/>
          <w:color w:val="C4A95A"/>
          <w:sz w:val="22"/>
          <w:szCs w:val="22"/>
        </w:rPr>
        <w:t xml:space="preserve">4.  </w:t>
      </w:r>
      <w:r>
        <w:rPr>
          <w:rFonts w:ascii="Garamond" w:cs="Garamond" w:eastAsia="Garamond" w:hAnsi="Garamond"/>
          <w:b w:val="false"/>
          <w:bCs w:val="false"/>
          <w:i w:val="false"/>
          <w:iCs w:val="false"/>
          <w:color w:val="1A1A1A"/>
          <w:sz w:val="22"/>
          <w:szCs w:val="22"/>
        </w:rPr>
        <w:t xml:space="preserve">The Limitation Disclosure Formula — four elements in sequence. First: name the specific gap without hedging or minimizing. "I have not worked extensively in this specific neighborhood" — not "I am still building my presence here." Precision, not softening. Second: explain why it matters for this specific client. "That means my neighborhood-specific pricing intelligence is not as deep as it would be with ten closings here in the last year." Third: describe specifically what you are doing to address it. "I am spending the next seventy-two hours pulling every comparable in a one-mile radius, reviewing six months of permit activity, and speaking with two agents who have worked here extensively." Fourth: give the client the explicit option. "Given all of that, I want you to decide whether you're comfortable proceeding with me or whether you'd prefer to work with someone who has deeper neighborhood history." The fourth step is the one almost no agent will say. It is also the one that makes the other three unassailable. The client who is given the explicit choice to leave almost never takes it. The client who is not given the choice always suspects the agent is managing something.</w:t>
      </w:r>
    </w:p>
    <w:p>
      <w:pPr>
        <w:spacing w:before="90" w:after="70"/>
        <w:ind w:left="220"/>
      </w:pPr>
      <w:r>
        <w:rPr>
          <w:rFonts w:ascii="Garamond" w:cs="Garamond" w:eastAsia="Garamond" w:hAnsi="Garamond"/>
          <w:b/>
          <w:bCs/>
          <w:i w:val="false"/>
          <w:iCs w:val="false"/>
          <w:color w:val="C4A95A"/>
          <w:sz w:val="22"/>
          <w:szCs w:val="22"/>
        </w:rPr>
        <w:t xml:space="preserve">5.  </w:t>
      </w:r>
      <w:r>
        <w:rPr>
          <w:rFonts w:ascii="Garamond" w:cs="Garamond" w:eastAsia="Garamond" w:hAnsi="Garamond"/>
          <w:b w:val="false"/>
          <w:bCs w:val="false"/>
          <w:i w:val="false"/>
          <w:iCs w:val="false"/>
          <w:color w:val="1A1A1A"/>
          <w:sz w:val="22"/>
          <w:szCs w:val="22"/>
        </w:rPr>
        <w:t xml:space="preserve">The Timing of Disclosure: proactive disclosures are exponentially more valuable before the client has invested in the relationship than after. The disclosure in the first conversation costs very little relationally and produces enormous trust. The disclosure in the third week costs more and produces less. The disclosure at the moment the client is about to discover the truth costs the most and produces the least — and frequently produces a relationship-ending withdrawal rather than a deposit. The optimal disclosure window is always the earliest possible moment after the agent becomes aware that there is something to disclose. There is no such thing as too early to be honest.</w:t>
      </w:r>
    </w:p>
    <w:p>
      <w:pPr>
        <w:spacing w:before="90" w:after="70"/>
        <w:ind w:left="220"/>
      </w:pPr>
      <w:r>
        <w:rPr>
          <w:rFonts w:ascii="Garamond" w:cs="Garamond" w:eastAsia="Garamond" w:hAnsi="Garamond"/>
          <w:b/>
          <w:bCs/>
          <w:i w:val="false"/>
          <w:iCs w:val="false"/>
          <w:color w:val="C4A95A"/>
          <w:sz w:val="22"/>
          <w:szCs w:val="22"/>
        </w:rPr>
        <w:t xml:space="preserve">6.  </w:t>
      </w:r>
      <w:r>
        <w:rPr>
          <w:rFonts w:ascii="Garamond" w:cs="Garamond" w:eastAsia="Garamond" w:hAnsi="Garamond"/>
          <w:b w:val="false"/>
          <w:bCs w:val="false"/>
          <w:i w:val="false"/>
          <w:iCs w:val="false"/>
          <w:color w:val="1A1A1A"/>
          <w:sz w:val="22"/>
          <w:szCs w:val="22"/>
        </w:rPr>
        <w:t xml:space="preserve">The Practice Disclosure: identify the truth in your current professional situation you are managing most actively — the one that consumes the most bandwidth across the most interactions. Write the specific disclosure you would make if you had perfect courage. Write the exact words. Then read it aloud — to yourself, to a trusted peer, to a mentor. The rehearsal reduces the anxiety of making the disclosure by approximately half. The reduced anxiety allows the genuine version of the disclosure to come through in the actual conversation. The performed version and the genuine version produce different client responses. Only the genuine version produces the full trust deposit.</w:t>
      </w:r>
    </w:p>
    <w:p>
      <w:pPr>
        <w:spacing w:before="90" w:after="70"/>
        <w:ind w:left="220"/>
      </w:pPr>
      <w:r>
        <w:rPr>
          <w:rFonts w:ascii="Garamond" w:cs="Garamond" w:eastAsia="Garamond" w:hAnsi="Garamond"/>
          <w:b/>
          <w:bCs/>
          <w:i w:val="false"/>
          <w:iCs w:val="false"/>
          <w:color w:val="C4A95A"/>
          <w:sz w:val="22"/>
          <w:szCs w:val="22"/>
        </w:rPr>
        <w:t xml:space="preserve">7.  </w:t>
      </w:r>
      <w:r>
        <w:rPr>
          <w:rFonts w:ascii="Garamond" w:cs="Garamond" w:eastAsia="Garamond" w:hAnsi="Garamond"/>
          <w:b w:val="false"/>
          <w:bCs w:val="false"/>
          <w:i w:val="false"/>
          <w:iCs w:val="false"/>
          <w:color w:val="1A1A1A"/>
          <w:sz w:val="22"/>
          <w:szCs w:val="22"/>
        </w:rPr>
        <w:t xml:space="preserve">The Ongoing Transparency Practice: once per week, in the Signal Ledger, add one entry: "What truth am I currently managing in any active client relationship that a proactive disclosure would convert from Tax to Love?" Design the specific disclosure. Set a specific date for making it. The practice of asking the question weekly — regardless of whether every disclosure is made — changes the default orientation from management to honesty at the level of professional identity. The agent who asks this question every week for a year finds that they are managing fewer and fewer truths, because the management habit has been systematically replaced by the disclosure habit. The disclosure habit is the foundation of the professional reputation that produces referrals without asking for them.</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New agent. Six months licensed. First significant listing opportunity. Two strategic choices.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Management approach: perform experience, deflect specific neighborhood questions, present broadly.</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-4</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-6.5</w:t>
      </w:r>
      <w:r>
        <w:rPr>
          <w:rFonts w:ascii="Garamond" w:cs="Garamond" w:eastAsia="Garamond" w:hAnsi="Garamond"/>
          <w:b w:val="false"/>
          <w:bCs w:val="false"/>
          <w:i/>
          <w:iCs/>
          <w:color w:val="555555"/>
          <w:sz w:val="18"/>
          <w:szCs w:val="18"/>
        </w:rPr>
        <w:t xml:space="preserve">  — Client researches independently. Finds LinkedIn. Discovers license date. Discovers the management. Calls the next agent on their list.</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Disclosure approach: "Six months in. Here's specifically what that means and what I'm doing about it."</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6</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9.0</w:t>
      </w:r>
      <w:r>
        <w:rPr>
          <w:rFonts w:ascii="Garamond" w:cs="Garamond" w:eastAsia="Garamond" w:hAnsi="Garamond"/>
          <w:b w:val="false"/>
          <w:bCs w:val="false"/>
          <w:i/>
          <w:iCs/>
          <w:color w:val="555555"/>
          <w:sz w:val="18"/>
          <w:szCs w:val="18"/>
        </w:rPr>
        <w:t xml:space="preserve">  — Client receives the rarest thing in any professional relationship: voluntary honesty at personal cost. Guard comes down completely.</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Disclosure agent presents specific 72-hour research plan with named senior agent consultations.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9.0</w:t>
      </w:r>
      <w:r>
        <w:rPr>
          <w:rFonts w:ascii="Garamond" w:cs="Garamond" w:eastAsia="Garamond" w:hAnsi="Garamond"/>
          <w:b w:val="false"/>
          <w:bCs w:val="false"/>
          <w:i/>
          <w:iCs/>
          <w:color w:val="555555"/>
          <w:sz w:val="18"/>
          <w:szCs w:val="18"/>
        </w:rPr>
        <w:t xml:space="preserve">  — Limitation converted to evidence of character and professionalism. The plan demonstrates what the track record cannot yet demonstrate.</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Disclosure agent: wins the listing.</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Not despite the disclosure. Because of it. The client chose the honest agent over the polished one.</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Six months post-close: disclosure client has referred two colleagues without being asked.</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10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10.5</w:t>
      </w:r>
      <w:r>
        <w:rPr>
          <w:rFonts w:ascii="Garamond" w:cs="Garamond" w:eastAsia="Garamond" w:hAnsi="Garamond"/>
          <w:b w:val="false"/>
          <w:bCs w:val="false"/>
          <w:i/>
          <w:iCs/>
          <w:color w:val="555555"/>
          <w:sz w:val="18"/>
          <w:szCs w:val="18"/>
        </w:rPr>
        <w:t xml:space="preserve">  — Referral narrative: "They were upfront about being new and then they went out and proved it didn't matter."</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Management client: found another agent after discovering the managed gap. Zero referrals.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w:t>
      </w:r>
      <w:r>
        <w:rPr>
          <w:rFonts w:ascii="Garamond" w:cs="Garamond" w:eastAsia="Garamond" w:hAnsi="Garamond"/>
          <w:b w:val="false"/>
          <w:bCs w:val="false"/>
          <w:i/>
          <w:iCs/>
          <w:color w:val="555555"/>
          <w:sz w:val="18"/>
          <w:szCs w:val="18"/>
        </w:rPr>
        <w:t xml:space="preserve">  — The management produced the exact outcome it was designed to prevent.</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1 compound: disclosure agent vs management agent at same starting production.</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Disclosure agent: trust account compounds. Management agent: trust account erodes. Identical surface production, diverging trajectories.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3 compound: referral rate difference — 58% vs 19%.</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The referral gap is the compound of every disclosure decision across three years. It represents $80,000-$120,000 in annual revenue difference.</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Name the specific truth you are most actively managing in your current client relationships. Name the exact number of interactions in which you have paid the management Tax for this concealment. Run the arithmetic: management Tax total versus one-time disclosure cost. The answer is sitting there. What are you going to do with it?</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Transparency Ledger</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Add a Transparency section to the Signal Ledger. Every week, one entry: (1) The truth you are most actively managing in any current or prospective client relationship. (2) The disclosure you would make with perfect courage — exact words. (3) The specific moment and language for making it. (4) The decision and date. Track whether the disclosure was made. Track the relationship response. Within 90 days, the transparency patterns that have been Tax-generating for years become visible as patterns. Patterns can be changed. The agent who addresses one transparency Tax per week for a year eliminates dozens of invisible bandwidth drains and replaces them with trust deposits that compound for the relationship's entire duration.</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III</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Delinquent Tax List</w:t>
      </w:r>
    </w:p>
    <w:p>
      <w:pPr>
        <w:spacing w:before="60" w:after="300"/>
        <w:jc w:val="left"/>
      </w:pPr>
      <w:r>
        <w:rPr>
          <w:rFonts w:ascii="Garamond" w:cs="Garamond" w:eastAsia="Garamond" w:hAnsi="Garamond"/>
          <w:b w:val="false"/>
          <w:bCs w:val="false"/>
          <w:i/>
          <w:iCs/>
          <w:color w:val="555555"/>
          <w:sz w:val="26"/>
          <w:szCs w:val="26"/>
        </w:rPr>
        <w:t xml:space="preserve">The most motivated seller in your market has already announced themselves to the county government. The filing is public. The access is free. The window before any other agent arrives is measured in months. Almost no agent goes to look.</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pre-distress seller is not on Zillow. They are not in any database the industry sells access to. They are in the county treasurer's records, identified by name and address, available to any agent who asks. The agent who asks owns the most motivated seller pool in the market with zero competition.</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Every real estate market contains a population of property owners in a specific stage of financial difficulty that is more valuable to the informed agent than any other prospecting segment available. They are not in foreclosure — the public crisis that every agent recognizes, where maximum competition converges. They are not yet in pre-foreclosure — the MLS-visible stage where the lis pendens filing is accessible to every agent monitoring the same public record. They are in the stage before pre-foreclosure: the stage where the government has already identified them as financially distressed through delinquent property tax, but where the situation is still private, still resolvable, and still producing the specific combination of motivation and available equity that makes a genuine transaction possible.</w:t>
      </w:r>
    </w:p>
    <w:p>
      <w:pPr>
        <w:spacing w:before="160" w:after="100"/>
        <w:jc w:val="both"/>
      </w:pPr>
      <w:r>
        <w:rPr>
          <w:rFonts w:ascii="Garamond" w:cs="Garamond" w:eastAsia="Garamond" w:hAnsi="Garamond"/>
          <w:b w:val="false"/>
          <w:bCs w:val="false"/>
          <w:i w:val="false"/>
          <w:iCs w:val="false"/>
          <w:color w:val="1A1A1A"/>
          <w:sz w:val="24"/>
          <w:szCs w:val="24"/>
        </w:rPr>
        <w:t xml:space="preserve">The delinquent property tax list is a public record in every county in the United States. Published regularly — quarterly in most jurisdictions, monthly in some — it identifies every property owner who has failed to pay property taxes by the due date. The list includes the owner's name, the property address, the amount of the delinquency, the duration of the delinquency, and often the parcel number for cross-referencing with the assessor's database. It is available through the county treasurer or tax assessor's office, frequently online, and it costs nothing.</w:t>
      </w:r>
    </w:p>
    <w:p>
      <w:pPr>
        <w:spacing w:before="160" w:after="100"/>
        <w:jc w:val="both"/>
      </w:pPr>
      <w:r>
        <w:rPr>
          <w:rFonts w:ascii="Garamond" w:cs="Garamond" w:eastAsia="Garamond" w:hAnsi="Garamond"/>
          <w:b w:val="false"/>
          <w:bCs w:val="false"/>
          <w:i w:val="false"/>
          <w:iCs w:val="false"/>
          <w:color w:val="1A1A1A"/>
          <w:sz w:val="24"/>
          <w:szCs w:val="24"/>
        </w:rPr>
        <w:t xml:space="preserve">The owner on this list is in a specific psychological state that the agent who understands it can serve at a level no other professional can. They are experiencing financial stress severe enough to have missed a government payment — the payment that carries, unlike a mortgage or credit card, the ultimate consequence of property forfeiture if ignored long enough. They are managing this stress privately, because financial difficulty carries social shame that most people do not share until the situation becomes unavoidable. They have not called an agent because calling an agent means confronting the reality that their ownership of the property may need to end — and that confrontation has been deferred the way all confrontations with painful realities are deferred: by not looking directly at them.</w:t>
      </w:r>
    </w:p>
    <w:p>
      <w:pPr>
        <w:spacing w:before="160" w:after="100"/>
        <w:jc w:val="both"/>
      </w:pPr>
      <w:r>
        <w:rPr>
          <w:rFonts w:ascii="Garamond" w:cs="Garamond" w:eastAsia="Garamond" w:hAnsi="Garamond"/>
          <w:b w:val="false"/>
          <w:bCs w:val="false"/>
          <w:i w:val="false"/>
          <w:iCs w:val="false"/>
          <w:color w:val="1A1A1A"/>
          <w:sz w:val="24"/>
          <w:szCs w:val="24"/>
        </w:rPr>
        <w:t xml:space="preserve">The agent who contacts this owner is not contacting a seller. They are contacting a person in a difficult situation who has not yet found the professional who can help them understand their options. Those options are specific and genuinely consequential: the timely sale that preserves the equity the owner has accumulated, versus the extended delinquency that eventually becomes a tax lien, a lien sale, and eventually a foreclosure that destroys both the equity and the credit simultaneously. The difference between these two outcomes — for the owner — can be tens of thousands of dollars preserved and years of financial recovery prevented.</w:t>
      </w:r>
    </w:p>
    <w:p>
      <w:pPr>
        <w:spacing w:before="160" w:after="100"/>
        <w:jc w:val="both"/>
      </w:pPr>
      <w:r>
        <w:rPr>
          <w:rFonts w:ascii="Garamond" w:cs="Garamond" w:eastAsia="Garamond" w:hAnsi="Garamond"/>
          <w:b w:val="false"/>
          <w:bCs w:val="false"/>
          <w:i w:val="false"/>
          <w:iCs w:val="false"/>
          <w:color w:val="1A1A1A"/>
          <w:sz w:val="24"/>
          <w:szCs w:val="24"/>
        </w:rPr>
        <w:t xml:space="preserve">The agent who arrives with genuine knowledge of these options, with a genuine offer to help the owner understand their specific situation and choices, is providing a service of real and immediate financial value. Not a prospecting call with a helpful wrapper. A genuinely helpful call that happens to be made by an agent. The distinction is not semantic. The client receives it entirely differently. The client who was helped to understand that a timely sale preserves $73,000 in equity that the alternative destroys does not merely refer the agent. They testify on behalf of them. The testimony reaches people who know other people in similar situations. The delinquent tax practice does not build a prospecting pipeline. It builds a rescue reputation. The rescue reputation compounds in ways the prospecting pipeline never does.</w:t>
      </w:r>
    </w:p>
    <w:p>
      <w:pPr>
        <w:spacing w:before="160" w:after="100"/>
        <w:jc w:val="both"/>
      </w:pPr>
      <w:r>
        <w:rPr>
          <w:rFonts w:ascii="Garamond" w:cs="Garamond" w:eastAsia="Garamond" w:hAnsi="Garamond"/>
          <w:b w:val="false"/>
          <w:bCs w:val="false"/>
          <w:i w:val="false"/>
          <w:iCs w:val="false"/>
          <w:color w:val="1A1A1A"/>
          <w:sz w:val="24"/>
          <w:szCs w:val="24"/>
        </w:rPr>
        <w:t xml:space="preserve">The PLT of the delinquent tax list is among the most favorable available in any prospecting context. The Profit from each transaction is full — these are not distressed sales that compress commission; they are motivated sales where the commission is the least contested element of the negotiation because both parties understand that the agent's involvement prevented a far worse outcome. The Love account deposit from the rescue conversation is among the deepest possible because the agent arrived before any public crisis, demonstrated knowledge that saved the owner from a worse outcome, and provided clarity in a moment of confusion that the owner will associate with the agent's name for the rest of their lives. The Tax is low because the conversation is genuine — there is nothing to manage, the situation is clear, and the agent's interest and the owner's interest are fully aligned in a way that almost no other prospecting context produces.</w:t>
      </w:r>
    </w:p>
    <w:p>
      <w:pPr>
        <w:spacing w:before="160" w:after="100"/>
        <w:jc w:val="both"/>
      </w:pPr>
      <w:r>
        <w:rPr>
          <w:rFonts w:ascii="Garamond" w:cs="Garamond" w:eastAsia="Garamond" w:hAnsi="Garamond"/>
          <w:b w:val="false"/>
          <w:bCs w:val="false"/>
          <w:i w:val="false"/>
          <w:iCs w:val="false"/>
          <w:color w:val="1A1A1A"/>
          <w:sz w:val="24"/>
          <w:szCs w:val="24"/>
        </w:rPr>
        <w:t xml:space="preserve">There is a dimension of the delinquent tax practice that most agents never reach because they abandon the practice before it produces the compound. The delinquent tax contact who does not sell — who resolves the delinquency, keeps the property, and stabilizes their situation — is not a lost lead. They are a relationship. The agent who helped them understand their options without requiring a transaction outcome is the agent those owners call two years later when they are genuinely ready to sell. And the agent those owners refer the first time any person in their network mentions real estate. The practice does not produce one transaction per contact. It produces one deep relationship per contact. Some relationships produce transactions in thirty days. Some in three years. All produce referrals for as long as the relationship is maintained.</w:t>
      </w:r>
    </w:p>
    <w:p>
      <w:pPr>
        <w:spacing w:before="160" w:after="100"/>
        <w:jc w:val="both"/>
      </w:pPr>
      <w:r>
        <w:rPr>
          <w:rFonts w:ascii="Garamond" w:cs="Garamond" w:eastAsia="Garamond" w:hAnsi="Garamond"/>
          <w:b w:val="false"/>
          <w:bCs w:val="false"/>
          <w:i w:val="false"/>
          <w:iCs w:val="false"/>
          <w:color w:val="1A1A1A"/>
          <w:sz w:val="24"/>
          <w:szCs w:val="24"/>
        </w:rPr>
        <w:t xml:space="preserve">The competitive moat of the delinquent tax practice is significant and durable. Because the practice requires knowledge of a public record most agents do not know exists, requires the research to convert the list into qualified contacts, requires the specific kind of outreach that differs fundamentally from standard prospecting, and requires genuine knowledge of the options available to pre-distress owners — the agents who run it effectively are operating in a channel that is genuinely uncontested in most markets. In a market with two thousand active agents, fewer than twenty are running a genuine delinquent tax practice. In most markets, fewer than five. The barrier to entry is not cost. It is the combination of knowledge and patience most agents are not willing to invest. The agents who invest it inherit a market position that cannot be purchased, replicated, or taken away.</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Locate the delinquent property tax list for your county today. Not this week — today. Search "[County Name] delinquent tax roll," "[County Name] delinquent property taxes," "[County Name] tax sale list," or "[County Name] treasurer delinquent." Most counties now provide this online. If not, a public records request to the county treasurer produces the list within five to ten business days at minimal or no cost. The request takes five minutes to write. The list that arrives is the most valuable prospecting document in your market.</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Filter the raw list systematically. Remove commercial and industrial properties. Remove vacant land. Focus on residential — single-family, small multifamily, condominiums — within your geographic target areas. Sort by two dimensions simultaneously: amount of delinquency and duration. Your highest-priority contacts are two to four quarters delinquent. Far enough along that urgency is genuine and the owner has felt the weight of the situation. Early enough that meaningful options remain and the traditional sale timeline is still feasible.</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Cross-reference every address on the filtered list with the county assessor's property records. You need three data points: the estimated current value of the property from the assessor's records or recent comparable sales, the outstanding mortgage balance if accessible through public records, and the total delinquency amount from the tax list. These three numbers produce the equity calculation: estimated value minus mortgage minus delinquency minus estimated sale costs equals the owner's approximate net from a timely sale. This calculation determines whether you can genuinely help. If the net is positive and significant, you can. If it is not, the conversation is about options other than sale.</w:t>
      </w:r>
    </w:p>
    <w:p>
      <w:pPr>
        <w:spacing w:before="90" w:after="70"/>
        <w:ind w:left="220"/>
      </w:pPr>
      <w:r>
        <w:rPr>
          <w:rFonts w:ascii="Garamond" w:cs="Garamond" w:eastAsia="Garamond" w:hAnsi="Garamond"/>
          <w:b/>
          <w:bCs/>
          <w:i w:val="false"/>
          <w:iCs w:val="false"/>
          <w:color w:val="C4A95A"/>
          <w:sz w:val="22"/>
          <w:szCs w:val="22"/>
        </w:rPr>
        <w:t xml:space="preserve">4.  </w:t>
      </w:r>
      <w:r>
        <w:rPr>
          <w:rFonts w:ascii="Garamond" w:cs="Garamond" w:eastAsia="Garamond" w:hAnsi="Garamond"/>
          <w:b w:val="false"/>
          <w:bCs w:val="false"/>
          <w:i w:val="false"/>
          <w:iCs w:val="false"/>
          <w:color w:val="1A1A1A"/>
          <w:sz w:val="22"/>
          <w:szCs w:val="22"/>
        </w:rPr>
        <w:t xml:space="preserve">The contact approach is a handwritten note. Not brokerage letterhead. Not a postcard with your photo. A handwritten note on plain paper or card stock, addressed by name to the specific owner. Language tested across multiple markets with consistent 30-45% response rates: "I noticed a situation with your property at [address] that I would like to speak with you about privately. I have helped several homeowners in situations similar to yours preserve equity that the alternative would have destroyed. The call takes twenty minutes and there is no sales agenda — I am genuinely trying to be useful. My direct number is [X]." No company name. No photo. No market statistics. No web address. The restraint is the message: this is a person, not a campaign.</w:t>
      </w:r>
    </w:p>
    <w:p>
      <w:pPr>
        <w:spacing w:before="90" w:after="70"/>
        <w:ind w:left="220"/>
      </w:pPr>
      <w:r>
        <w:rPr>
          <w:rFonts w:ascii="Garamond" w:cs="Garamond" w:eastAsia="Garamond" w:hAnsi="Garamond"/>
          <w:b/>
          <w:bCs/>
          <w:i w:val="false"/>
          <w:iCs w:val="false"/>
          <w:color w:val="C4A95A"/>
          <w:sz w:val="22"/>
          <w:szCs w:val="22"/>
        </w:rPr>
        <w:t xml:space="preserve">5.  </w:t>
      </w:r>
      <w:r>
        <w:rPr>
          <w:rFonts w:ascii="Garamond" w:cs="Garamond" w:eastAsia="Garamond" w:hAnsi="Garamond"/>
          <w:b w:val="false"/>
          <w:bCs w:val="false"/>
          <w:i w:val="false"/>
          <w:iCs w:val="false"/>
          <w:color w:val="1A1A1A"/>
          <w:sz w:val="22"/>
          <w:szCs w:val="22"/>
        </w:rPr>
        <w:t xml:space="preserve">The incoming call protocol determines whether the conversation deepens or defends. The opening that consistently works: "Thank you for calling. Before anything else, I want to tell you what I'm not going to do in this call. I'm not going to pressure you toward any decision. I'm not going to try to list your property today. I'm going to show you your specific options — including options that don't involve selling at all — and let you decide what's right for your situation. Is that okay?" The owner who hears this has encountered something unprecedented in any professional call they have received: a professional who opened by telling them what they were not going to do. The defensiveness the call began with dissolves.</w:t>
      </w:r>
    </w:p>
    <w:p>
      <w:pPr>
        <w:spacing w:before="90" w:after="70"/>
        <w:ind w:left="220"/>
      </w:pPr>
      <w:r>
        <w:rPr>
          <w:rFonts w:ascii="Garamond" w:cs="Garamond" w:eastAsia="Garamond" w:hAnsi="Garamond"/>
          <w:b/>
          <w:bCs/>
          <w:i w:val="false"/>
          <w:iCs w:val="false"/>
          <w:color w:val="C4A95A"/>
          <w:sz w:val="22"/>
          <w:szCs w:val="22"/>
        </w:rPr>
        <w:t xml:space="preserve">6.  </w:t>
      </w:r>
      <w:r>
        <w:rPr>
          <w:rFonts w:ascii="Garamond" w:cs="Garamond" w:eastAsia="Garamond" w:hAnsi="Garamond"/>
          <w:b w:val="false"/>
          <w:bCs w:val="false"/>
          <w:i w:val="false"/>
          <w:iCs w:val="false"/>
          <w:color w:val="1A1A1A"/>
          <w:sz w:val="22"/>
          <w:szCs w:val="22"/>
        </w:rPr>
        <w:t xml:space="preserve">Know the complete option architecture before every call. The informed agent arrives with complete knowledge of: the traditional sale and its timeline, the equity it would preserve at current values, the short sale process and timeline if equity is insufficient, the specific tax redemption process in your state — the deadline by which the owner can pay the delinquency and retain the property, and the cost of doing so — and the foreclosure timeline if no action is taken, with the specific point on that timeline after which options narrow dramatically. The owner who receives this specific, accurate information in a twenty-minute call has received more useful guidance about their situation than from any professional they have consulted. The agent who provides it has earned a level of trust that makes subsequent conversation about representation straightforward.</w:t>
      </w:r>
    </w:p>
    <w:p>
      <w:pPr>
        <w:spacing w:before="90" w:after="70"/>
        <w:ind w:left="220"/>
      </w:pPr>
      <w:r>
        <w:rPr>
          <w:rFonts w:ascii="Garamond" w:cs="Garamond" w:eastAsia="Garamond" w:hAnsi="Garamond"/>
          <w:b/>
          <w:bCs/>
          <w:i w:val="false"/>
          <w:iCs w:val="false"/>
          <w:color w:val="C4A95A"/>
          <w:sz w:val="22"/>
          <w:szCs w:val="22"/>
        </w:rPr>
        <w:t xml:space="preserve">7.  </w:t>
      </w:r>
      <w:r>
        <w:rPr>
          <w:rFonts w:ascii="Garamond" w:cs="Garamond" w:eastAsia="Garamond" w:hAnsi="Garamond"/>
          <w:b w:val="false"/>
          <w:bCs w:val="false"/>
          <w:i w:val="false"/>
          <w:iCs w:val="false"/>
          <w:color w:val="1A1A1A"/>
          <w:sz w:val="22"/>
          <w:szCs w:val="22"/>
        </w:rPr>
        <w:t xml:space="preserve">The non-response follow-up: send a second handwritten note thirty days after the first. "If you've already addressed this, please disregard this note and accept my congratulations. If the situation is still present, the call I described still stands." A third and final note at sixty days. Three contacts over sixty days. After the third, move on to the next contact. The owner who receives three handwritten notes over sixty days from an agent who asked for nothing has a name they will not forget when the situation becomes urgent. The call, when it comes — sometimes months after the third note — is a warm call from a person the owner has already decided to trust.</w:t>
      </w:r>
    </w:p>
    <w:p>
      <w:pPr>
        <w:spacing w:before="90" w:after="70"/>
        <w:ind w:left="220"/>
      </w:pPr>
      <w:r>
        <w:rPr>
          <w:rFonts w:ascii="Garamond" w:cs="Garamond" w:eastAsia="Garamond" w:hAnsi="Garamond"/>
          <w:b/>
          <w:bCs/>
          <w:i w:val="false"/>
          <w:iCs w:val="false"/>
          <w:color w:val="C4A95A"/>
          <w:sz w:val="22"/>
          <w:szCs w:val="22"/>
        </w:rPr>
        <w:t xml:space="preserve">8.  </w:t>
      </w:r>
      <w:r>
        <w:rPr>
          <w:rFonts w:ascii="Garamond" w:cs="Garamond" w:eastAsia="Garamond" w:hAnsi="Garamond"/>
          <w:b w:val="false"/>
          <w:bCs w:val="false"/>
          <w:i w:val="false"/>
          <w:iCs w:val="false"/>
          <w:color w:val="1A1A1A"/>
          <w:sz w:val="22"/>
          <w:szCs w:val="22"/>
        </w:rPr>
        <w:t xml:space="preserve">Build the tracking system and maintain it monthly. Spreadsheet sufficient: property address, owner name, delinquency amount, date of first contact, response status, follow-up dates, conversation notes, disposition. Review the list monthly as new delinquencies are published. Add new contacts. Remove resolved situations. The delinquent tax practice is a monthly rhythm, not a one-time campaign. The agents who run it for three years have a different career from the agents who run it for three months. The compound is in the consistency, and the consistency is in the system.</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Agent running delinquent tax practice monthly versus agent running standard sphere prospecting. Same market. Three years.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Standard sphere call campaign: 200 contacts per month. 2% response. 0.3 listings per month.</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6</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-0.5</w:t>
      </w:r>
      <w:r>
        <w:rPr>
          <w:rFonts w:ascii="Garamond" w:cs="Garamond" w:eastAsia="Garamond" w:hAnsi="Garamond"/>
          <w:b w:val="false"/>
          <w:bCs w:val="false"/>
          <w:i/>
          <w:iCs/>
          <w:color w:val="555555"/>
          <w:sz w:val="18"/>
          <w:szCs w:val="18"/>
        </w:rPr>
        <w:t xml:space="preserve">  — High activity, low signal quality, market-dependent results. Starts from zero every January.</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Delinquent tax list: 15 targeted contacts per month. 35% response. 1.2 listings per month.</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-4</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10.5</w:t>
      </w:r>
      <w:r>
        <w:rPr>
          <w:rFonts w:ascii="Garamond" w:cs="Garamond" w:eastAsia="Garamond" w:hAnsi="Garamond"/>
          <w:b w:val="false"/>
          <w:bCs w:val="false"/>
          <w:i/>
          <w:iCs/>
          <w:color w:val="555555"/>
          <w:sz w:val="18"/>
          <w:szCs w:val="18"/>
        </w:rPr>
        <w:t xml:space="preserve">  — Lower volume, dramatically higher relevance. Every contact a genuine service. Every conversion a rescue relationship.</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Delinquent tax client who sells: referral rate within 36 months.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Rescue referral rate: 67%. Standard transaction referral rate: 22%. The difference is the depth of the gratitude.</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Delinquent tax contact who does not sell: long-term relationship value.</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7</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9.0</w:t>
      </w:r>
      <w:r>
        <w:rPr>
          <w:rFonts w:ascii="Garamond" w:cs="Garamond" w:eastAsia="Garamond" w:hAnsi="Garamond"/>
          <w:b w:val="false"/>
          <w:bCs w:val="false"/>
          <w:i/>
          <w:iCs/>
          <w:color w:val="555555"/>
          <w:sz w:val="18"/>
          <w:szCs w:val="18"/>
        </w:rPr>
        <w:t xml:space="preserve">  — Non-sale contact is still a relationship. Future listing when ready. Referral before that. Nothing wasted.</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1: Tax list agent adds 6 listings from practice alone. $54,000 additional GCI.</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Sphere agent: no equivalent pipeline. Competing for same public listings as 2,000 other agents.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2: Rescue reputation begins generating inbound referrals from rescue clients' networks.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10.5</w:t>
      </w:r>
      <w:r>
        <w:rPr>
          <w:rFonts w:ascii="Garamond" w:cs="Garamond" w:eastAsia="Garamond" w:hAnsi="Garamond"/>
          <w:b w:val="false"/>
          <w:bCs w:val="false"/>
          <w:i/>
          <w:iCs/>
          <w:color w:val="555555"/>
          <w:sz w:val="18"/>
          <w:szCs w:val="18"/>
        </w:rPr>
        <w:t xml:space="preserve">  — Rescue referral: "Call [agent]. They helped me when I didn't know I needed help."</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3: Practice fully compounded. Inbound referrals from rescue clients exceed outbound contact volume.</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10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10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11.5</w:t>
      </w:r>
      <w:r>
        <w:rPr>
          <w:rFonts w:ascii="Garamond" w:cs="Garamond" w:eastAsia="Garamond" w:hAnsi="Garamond"/>
          <w:b w:val="false"/>
          <w:bCs w:val="false"/>
          <w:i/>
          <w:iCs/>
          <w:color w:val="555555"/>
          <w:sz w:val="18"/>
          <w:szCs w:val="18"/>
        </w:rPr>
        <w:t xml:space="preserve">  — The delinquent tax practice has become self-sustaining. The agent is receiving more than they are sending.</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When did you last access the delinquent tax list for your primary market? If the answer is never, calculate the conservative revenue cost of that decision across the last three years and write the number down. Is that number greater than the three hours it takes to obtain and filter the list?</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Tax List Monthly Practice</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Week 1 of Month 1: Obtain the list. Filter for residential. Sort by delinquency duration. Run the equity calculation on the top 20. Write handwritten notes to the top 10 highest-equity contacts. Weeks 2-4: follow up on responses. Run the informed option conversation with every owner who calls. Month 2: obtain the updated list. Add new contacts. Follow up on Month 1 non-responses. Repeat indefinitely. Four hours per month. In most markets, four hours per month of consistent practice generates 6-10 additional listing conversations per year that no other method reaches — conversations with the most motivated sellers in the market, conducted without competition, in a channel that almost no agent knows exists.</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IV</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Probate Filing</w:t>
      </w:r>
    </w:p>
    <w:p>
      <w:pPr>
        <w:spacing w:before="60" w:after="300"/>
        <w:jc w:val="left"/>
      </w:pPr>
      <w:r>
        <w:rPr>
          <w:rFonts w:ascii="Garamond" w:cs="Garamond" w:eastAsia="Garamond" w:hAnsi="Garamond"/>
          <w:b w:val="false"/>
          <w:bCs w:val="false"/>
          <w:i/>
          <w:iCs/>
          <w:color w:val="555555"/>
          <w:sz w:val="26"/>
          <w:szCs w:val="26"/>
        </w:rPr>
        <w:t xml:space="preserve">Every estate sale in your market announces itself in public court records before the property is listed, before the family has chosen an agent, before any competitor knows it exists. The filing is free to access. The knowledge is priceless. And almost no residential agent has ever gone to the courthouse.</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When someone dies owning real estate, the estate announces itself to the county court within thirty days. The agent who reads the announcement owns the listing conversation that every other agent will never have — because they will never know the listing was available before it appeared on the MLS.</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Death and real estate intersect with a frequency the industry consistently underestimates. Approximately 2.8 million Americans die each year. Approximately 65% of American adults own their homes. Of the deaths that involve homeowners, approximately 40% of estates include real property that must be disposed of through sale or transfer to heirs who must subsequently decide whether to sell. In a mid-size market of 500,000 people, this produces several hundred estate sale opportunities per year. In most of those markets, fewer than five agents have a systematic probate practice. The rest are competing for the same public listings on the same MLS.</w:t>
      </w:r>
    </w:p>
    <w:p>
      <w:pPr>
        <w:spacing w:before="160" w:after="100"/>
        <w:jc w:val="both"/>
      </w:pPr>
      <w:r>
        <w:rPr>
          <w:rFonts w:ascii="Garamond" w:cs="Garamond" w:eastAsia="Garamond" w:hAnsi="Garamond"/>
          <w:b w:val="false"/>
          <w:bCs w:val="false"/>
          <w:i w:val="false"/>
          <w:iCs w:val="false"/>
          <w:color w:val="1A1A1A"/>
          <w:sz w:val="24"/>
          <w:szCs w:val="24"/>
        </w:rPr>
        <w:t xml:space="preserve">The probate proceeding is initiated when the personal representative of a deceased person files the appropriate paperwork with the county probate court to begin the legal process of settling the estate. This filing is a matter of public record. It becomes available in the county court's online portal or in person at the courthouse within days of filing. It identifies the deceased, the personal representative, the address and legal description of any real property in the estate, and the timeline of the legal process.</w:t>
      </w:r>
    </w:p>
    <w:p>
      <w:pPr>
        <w:spacing w:before="160" w:after="100"/>
        <w:jc w:val="both"/>
      </w:pPr>
      <w:r>
        <w:rPr>
          <w:rFonts w:ascii="Garamond" w:cs="Garamond" w:eastAsia="Garamond" w:hAnsi="Garamond"/>
          <w:b w:val="false"/>
          <w:bCs w:val="false"/>
          <w:i w:val="false"/>
          <w:iCs w:val="false"/>
          <w:color w:val="1A1A1A"/>
          <w:sz w:val="24"/>
          <w:szCs w:val="24"/>
        </w:rPr>
        <w:t xml:space="preserve">The personal representative administering an estate that includes real property faces a specific combination of legal obligation and practical challenge that is simultaneously present and rarely simultaneously addressed by any single professional. The legal obligation is fiduciary: the representative must dispose of the estate's assets at fair market value, prudently, in the interest of the beneficiaries. The practical challenge is personal: the representative is grieving, managing family dynamics that are often complicated by competing beneficiary interests, navigating a legal process they have almost certainly never encountered before, and managing an asset — the real property — about which they may know very little.</w:t>
      </w:r>
    </w:p>
    <w:p>
      <w:pPr>
        <w:spacing w:before="160" w:after="100"/>
        <w:jc w:val="both"/>
      </w:pPr>
      <w:r>
        <w:rPr>
          <w:rFonts w:ascii="Garamond" w:cs="Garamond" w:eastAsia="Garamond" w:hAnsi="Garamond"/>
          <w:b w:val="false"/>
          <w:bCs w:val="false"/>
          <w:i w:val="false"/>
          <w:iCs w:val="false"/>
          <w:color w:val="1A1A1A"/>
          <w:sz w:val="24"/>
          <w:szCs w:val="24"/>
        </w:rPr>
        <w:t xml:space="preserve">The professional who enters this situation with genuine competence in both dimensions — who understands the specific legal requirements of an estate sale and who can manage the human dimensions of a grieving family — provides a service that has no competition in residential real estate. The executor does not need an agent who can generate offers. They need an agent who can simplify a complicated situation, explain the legal requirements without requiring the executor to become a legal expert, manage the family dynamics without taking sides, and close the transaction on a timeline that serves the estate's legal requirements.</w:t>
      </w:r>
    </w:p>
    <w:p>
      <w:pPr>
        <w:spacing w:before="160" w:after="100"/>
        <w:jc w:val="both"/>
      </w:pPr>
      <w:r>
        <w:rPr>
          <w:rFonts w:ascii="Garamond" w:cs="Garamond" w:eastAsia="Garamond" w:hAnsi="Garamond"/>
          <w:b w:val="false"/>
          <w:bCs w:val="false"/>
          <w:i w:val="false"/>
          <w:iCs w:val="false"/>
          <w:color w:val="1A1A1A"/>
          <w:sz w:val="24"/>
          <w:szCs w:val="24"/>
        </w:rPr>
        <w:t xml:space="preserve">The specific knowledge that differentiates the probate-competent agent: the court confirmation process in supervised administrations, the overbid procedures that apply when court-approved sales are required, the specific disclosure requirements for estate sales versus standard owner sales, the ability to communicate with multiple beneficiaries who may have conflicting interests without violating fiduciary duties to any of them, and the tax implications that affect the estate's optimal sale strategy — particularly the stepped-up basis rules that often fundamentally change the executor's pricing and timing calculus.</w:t>
      </w:r>
    </w:p>
    <w:p>
      <w:pPr>
        <w:spacing w:before="160" w:after="100"/>
        <w:jc w:val="both"/>
      </w:pPr>
      <w:r>
        <w:rPr>
          <w:rFonts w:ascii="Garamond" w:cs="Garamond" w:eastAsia="Garamond" w:hAnsi="Garamond"/>
          <w:b w:val="false"/>
          <w:bCs w:val="false"/>
          <w:i w:val="false"/>
          <w:iCs w:val="false"/>
          <w:color w:val="1A1A1A"/>
          <w:sz w:val="24"/>
          <w:szCs w:val="24"/>
        </w:rPr>
        <w:t xml:space="preserve">The relationship dimension of probate work produces the most durable referral network available in residential real estate. The executor who was helped through a genuinely difficult process — guided through grief and legal complexity and family conflict by an agent who never seemed overwhelmed, who always knew the next step, who consistently put the estate's interest above the speed of the commission — has had an experience they will describe to everyone they know for the rest of their life. Not as "a good real estate experience." As "the person who helped us when we needed it most." That description, spoken with that specific emotional register, produces the most motivated inbound referral available. The referral source is grief-gratitude. There is no more loyal referral source in existence.</w:t>
      </w:r>
    </w:p>
    <w:p>
      <w:pPr>
        <w:spacing w:before="160" w:after="100"/>
        <w:jc w:val="both"/>
      </w:pPr>
      <w:r>
        <w:rPr>
          <w:rFonts w:ascii="Garamond" w:cs="Garamond" w:eastAsia="Garamond" w:hAnsi="Garamond"/>
          <w:b w:val="false"/>
          <w:bCs w:val="false"/>
          <w:i w:val="false"/>
          <w:iCs w:val="false"/>
          <w:color w:val="1A1A1A"/>
          <w:sz w:val="24"/>
          <w:szCs w:val="24"/>
        </w:rPr>
        <w:t xml:space="preserve">The probate attorney relationship amplifies the entire practice. Every probate case that involves real property requires the probate attorney to either refer the estate to a real estate agent or navigate the real estate process without professional guidance. Most probate attorneys navigate it without guidance — not because they prefer to, but because they have not encountered a real estate agent whose knowledge of the probate process eliminated the liability of the referral. The agent who demonstrates, in a single meeting, that they understand the legal process, speak the attorney's language, and protect the attorney's client relationship through the real estate transaction is providing something the probate attorney has been waiting for: an agent they can refer without risk. One probate attorney relationship, maintained well, generates more business than most agents produce through three years of standard prospecting.</w:t>
      </w:r>
    </w:p>
    <w:p>
      <w:pPr>
        <w:spacing w:before="160" w:after="100"/>
        <w:jc w:val="both"/>
      </w:pPr>
      <w:r>
        <w:rPr>
          <w:rFonts w:ascii="Garamond" w:cs="Garamond" w:eastAsia="Garamond" w:hAnsi="Garamond"/>
          <w:b w:val="false"/>
          <w:bCs w:val="false"/>
          <w:i w:val="false"/>
          <w:iCs w:val="false"/>
          <w:color w:val="1A1A1A"/>
          <w:sz w:val="24"/>
          <w:szCs w:val="24"/>
        </w:rPr>
        <w:t xml:space="preserve">The long-term compound of the probate practice is geometric. Year one: estate sales and attorney relationships. Year two: attorney referrals from relationships built in year one. Year three: referrals from year-one families as beneficiaries who inherited equity from year-one estates subsequently list their own properties. By year five, the probate practice of the agent who has run it consistently has produced a network of attorneys, estate professionals, and family beneficiaries that generates incoming business without any prospecting activity. The agent who started five years ago is now receiving calls from people they never contacted. The compound has become self-sustaining. This is what a practice looks like versus a pipeline.</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Access the probate court filings for your county today. Search "[County Name] probate court records" or "[County Name] estate administration filings." Most jurisdictions maintain searchable online databases. Look for filings from the last ninety days. Focus specifically on filings that include real property in the asset inventory — not all probate cases involve real estate. Create a tracking spreadsheet: filing date, deceased name, personal representative name and contact address, property address, estimated property value if listed.</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If online access is limited, establish a weekly courthouse practice. One hour at the probate court public records counter, once per week, produces a complete current picture of the estate sale pipeline in your market. The agents who have discovered the value of this practice are almost never at the courthouse when you arrive. The hour is yours. This is the literal definition of uncontested market access.</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Prioritize contacts by two factors simultaneously: time since filing and estimated equity. Filings from thirty to sixty days ago are highest priority — early enough that the representative has had time to stabilize after the loss but not so much time that another agent has already established a relationship. High-equity estates are highest priority because the representative's fiduciary obligation to maximize proceeds makes the conversation immediately and obviously relevant.</w:t>
      </w:r>
    </w:p>
    <w:p>
      <w:pPr>
        <w:spacing w:before="90" w:after="70"/>
        <w:ind w:left="220"/>
      </w:pPr>
      <w:r>
        <w:rPr>
          <w:rFonts w:ascii="Garamond" w:cs="Garamond" w:eastAsia="Garamond" w:hAnsi="Garamond"/>
          <w:b/>
          <w:bCs/>
          <w:i w:val="false"/>
          <w:iCs w:val="false"/>
          <w:color w:val="C4A95A"/>
          <w:sz w:val="22"/>
          <w:szCs w:val="22"/>
        </w:rPr>
        <w:t xml:space="preserve">4.  </w:t>
      </w:r>
      <w:r>
        <w:rPr>
          <w:rFonts w:ascii="Garamond" w:cs="Garamond" w:eastAsia="Garamond" w:hAnsi="Garamond"/>
          <w:b w:val="false"/>
          <w:bCs w:val="false"/>
          <w:i w:val="false"/>
          <w:iCs w:val="false"/>
          <w:color w:val="1A1A1A"/>
          <w:sz w:val="22"/>
          <w:szCs w:val="22"/>
        </w:rPr>
        <w:t xml:space="preserve">The contact approach: a professional letter on plain stationery — not brokerage letterhead — addressed specifically to the personal representative by name and title. "Dear [Name], I understand you are currently serving as the personal representative of the estate of [Deceased], which includes real property at [Address]. I specialize in working with personal representatives on the sale of estate properties and would welcome the opportunity to speak with you about how I approach these situations and how I might make your responsibility simpler. I am happy to answer any questions you have about the process with no obligation of any kind. My direct contact is below." Brief. Respectful of the situation. Offers something specific. Does not pitch.</w:t>
      </w:r>
    </w:p>
    <w:p>
      <w:pPr>
        <w:spacing w:before="90" w:after="70"/>
        <w:ind w:left="220"/>
      </w:pPr>
      <w:r>
        <w:rPr>
          <w:rFonts w:ascii="Garamond" w:cs="Garamond" w:eastAsia="Garamond" w:hAnsi="Garamond"/>
          <w:b/>
          <w:bCs/>
          <w:i w:val="false"/>
          <w:iCs w:val="false"/>
          <w:color w:val="C4A95A"/>
          <w:sz w:val="22"/>
          <w:szCs w:val="22"/>
        </w:rPr>
        <w:t xml:space="preserve">5.  </w:t>
      </w:r>
      <w:r>
        <w:rPr>
          <w:rFonts w:ascii="Garamond" w:cs="Garamond" w:eastAsia="Garamond" w:hAnsi="Garamond"/>
          <w:b w:val="false"/>
          <w:bCs w:val="false"/>
          <w:i w:val="false"/>
          <w:iCs w:val="false"/>
          <w:color w:val="1A1A1A"/>
          <w:sz w:val="22"/>
          <w:szCs w:val="22"/>
        </w:rPr>
        <w:t xml:space="preserve">The first conversation: lead with the process, not the listing. "Before we discuss the property specifically, let me walk you through how estate sales typically work so you have the full picture." Cover the court confirmation question first — whether this estate requires court approval for the sale or whether the representative has independent authority — because this is the decision that determines every subsequent step, and most personal representatives do not know the answer. The representative who receives this specific, legally accurate guidance in the first five minutes has encountered a level of preparation no other agent will provide.</w:t>
      </w:r>
    </w:p>
    <w:p>
      <w:pPr>
        <w:spacing w:before="90" w:after="70"/>
        <w:ind w:left="220"/>
      </w:pPr>
      <w:r>
        <w:rPr>
          <w:rFonts w:ascii="Garamond" w:cs="Garamond" w:eastAsia="Garamond" w:hAnsi="Garamond"/>
          <w:b/>
          <w:bCs/>
          <w:i w:val="false"/>
          <w:iCs w:val="false"/>
          <w:color w:val="C4A95A"/>
          <w:sz w:val="22"/>
          <w:szCs w:val="22"/>
        </w:rPr>
        <w:t xml:space="preserve">6.  </w:t>
      </w:r>
      <w:r>
        <w:rPr>
          <w:rFonts w:ascii="Garamond" w:cs="Garamond" w:eastAsia="Garamond" w:hAnsi="Garamond"/>
          <w:b w:val="false"/>
          <w:bCs w:val="false"/>
          <w:i w:val="false"/>
          <w:iCs w:val="false"/>
          <w:color w:val="1A1A1A"/>
          <w:sz w:val="22"/>
          <w:szCs w:val="22"/>
        </w:rPr>
        <w:t xml:space="preserve">Learn the complete estate sale legal mechanics in your state before the first conversation. Research specifically: the conditions under which court confirmation is required, the overbid process and minimum overbid increment where applicable, the specific disclosure requirements for estate sales that differ from standard owner sales, how the representative's fiduciary duty affects the pricing decision, and the stepped-up basis rule and how it changes the estate's net proceeds calculation. The agent who knows these things in their first conversation with the representative is not a residential agent helping with an estate sale. They are a real estate specialist whose expertise in this transaction type is immediately legible to both the attorney and the representative.</w:t>
      </w:r>
    </w:p>
    <w:p>
      <w:pPr>
        <w:spacing w:before="90" w:after="70"/>
        <w:ind w:left="220"/>
      </w:pPr>
      <w:r>
        <w:rPr>
          <w:rFonts w:ascii="Garamond" w:cs="Garamond" w:eastAsia="Garamond" w:hAnsi="Garamond"/>
          <w:b/>
          <w:bCs/>
          <w:i w:val="false"/>
          <w:iCs w:val="false"/>
          <w:color w:val="C4A95A"/>
          <w:sz w:val="22"/>
          <w:szCs w:val="22"/>
        </w:rPr>
        <w:t xml:space="preserve">7.  </w:t>
      </w:r>
      <w:r>
        <w:rPr>
          <w:rFonts w:ascii="Garamond" w:cs="Garamond" w:eastAsia="Garamond" w:hAnsi="Garamond"/>
          <w:b w:val="false"/>
          <w:bCs w:val="false"/>
          <w:i w:val="false"/>
          <w:iCs w:val="false"/>
          <w:color w:val="1A1A1A"/>
          <w:sz w:val="22"/>
          <w:szCs w:val="22"/>
        </w:rPr>
        <w:t xml:space="preserve">Build the probate attorney relationship as a parallel track. Identify every probate attorney in your market through the state bar directory. Write introduction letters to the top ten by volume. Request fifteen-minute meetings. In the meeting, demonstrate specific knowledge of the estate sale process that protects the attorney's client relationship. Offer to produce a one-page "Estate Sale Guide for Executors" that the attorney can distribute to every client whose estate includes real property — a branded, genuinely useful document that puts your name in the executor's hands from the moment the attorney engages. The attorney who distributes this guide is sending qualified referrals before the conversation has begun.</w:t>
      </w:r>
    </w:p>
    <w:p>
      <w:pPr>
        <w:spacing w:before="90" w:after="70"/>
        <w:ind w:left="220"/>
      </w:pPr>
      <w:r>
        <w:rPr>
          <w:rFonts w:ascii="Garamond" w:cs="Garamond" w:eastAsia="Garamond" w:hAnsi="Garamond"/>
          <w:b/>
          <w:bCs/>
          <w:i w:val="false"/>
          <w:iCs w:val="false"/>
          <w:color w:val="C4A95A"/>
          <w:sz w:val="22"/>
          <w:szCs w:val="22"/>
        </w:rPr>
        <w:t xml:space="preserve">8.  </w:t>
      </w:r>
      <w:r>
        <w:rPr>
          <w:rFonts w:ascii="Garamond" w:cs="Garamond" w:eastAsia="Garamond" w:hAnsi="Garamond"/>
          <w:b w:val="false"/>
          <w:bCs w:val="false"/>
          <w:i w:val="false"/>
          <w:iCs w:val="false"/>
          <w:color w:val="1A1A1A"/>
          <w:sz w:val="22"/>
          <w:szCs w:val="22"/>
        </w:rPr>
        <w:t xml:space="preserve">The family dynamics doctrine: estate sales frequently involve multiple beneficiaries with competing interests and varying knowledge about the property and the process. Run all communication through the personal representative, who has the legal authority to make decisions, while being respectful and informative to all family members who ask questions. Never take sides. Never share information selectively with one beneficiary against another. Never allow yourself to become the arbiter of family disputes. The doctrine: one point of legal contact, universal transparency, zero sides. The agent who violates this doctrine in an estate sale loses not just the transaction but the attorney relationship, the family relationships, and any claim to the beneficiary referral network.</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Agent with systematic probate practice versus agent with no probate practice. Same market. Five years.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1: Probate agent contacts 40 executors. 8 listings result.</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7</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9.0</w:t>
      </w:r>
      <w:r>
        <w:rPr>
          <w:rFonts w:ascii="Garamond" w:cs="Garamond" w:eastAsia="Garamond" w:hAnsi="Garamond"/>
          <w:b w:val="false"/>
          <w:bCs w:val="false"/>
          <w:i/>
          <w:iCs/>
          <w:color w:val="555555"/>
          <w:sz w:val="18"/>
          <w:szCs w:val="18"/>
        </w:rPr>
        <w:t xml:space="preserve">  — 20% conversion rate from contact to listing — 4x the conversion of standard prospecting.</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1: First probate attorney relationship established. 3 referrals in year 1.</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9.5</w:t>
      </w:r>
      <w:r>
        <w:rPr>
          <w:rFonts w:ascii="Garamond" w:cs="Garamond" w:eastAsia="Garamond" w:hAnsi="Garamond"/>
          <w:b w:val="false"/>
          <w:bCs w:val="false"/>
          <w:i/>
          <w:iCs/>
          <w:color w:val="555555"/>
          <w:sz w:val="18"/>
          <w:szCs w:val="18"/>
        </w:rPr>
        <w:t xml:space="preserve">  — Attorney referrals arrive pre-educated. Listing appointment is confirmation, not competition.</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2: Year-1 executor clients begin referring family beneficiaries who own property.</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10.0</w:t>
      </w:r>
      <w:r>
        <w:rPr>
          <w:rFonts w:ascii="Garamond" w:cs="Garamond" w:eastAsia="Garamond" w:hAnsi="Garamond"/>
          <w:b w:val="false"/>
          <w:bCs w:val="false"/>
          <w:i/>
          <w:iCs/>
          <w:color w:val="555555"/>
          <w:sz w:val="18"/>
          <w:szCs w:val="18"/>
        </w:rPr>
        <w:t xml:space="preserve">  — Each estate sale averages 1.8 beneficiary referrals within 3 years. The first estate produces the second.</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3: Two attorney relationships active. 12 referrals from attorneys alone.</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10.5</w:t>
      </w:r>
      <w:r>
        <w:rPr>
          <w:rFonts w:ascii="Garamond" w:cs="Garamond" w:eastAsia="Garamond" w:hAnsi="Garamond"/>
          <w:b w:val="false"/>
          <w:bCs w:val="false"/>
          <w:i/>
          <w:iCs/>
          <w:color w:val="555555"/>
          <w:sz w:val="18"/>
          <w:szCs w:val="18"/>
        </w:rPr>
        <w:t xml:space="preserve">  — Attorney referral business alone exceeds total Year 1 production from all sources combined.</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5: Probate agent — annual production from practice alone.</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Estate listings: 14-18. Attorney referrals: 8-12. Beneficiary referrals: 6-8. Total: 28-38 additional sides per year.</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5: No-probate agent.</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Competing for the same public listings as every other agent. No moat. No compound. No practice.</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Five-year revenue comparison. Same market. Same base production.</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Probate practice agent: $680,000-$940,000 additional GCI over 5 years from practice alone. The compound is real and it is large.</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How many estate sales closed in your market in the last twelve months? You do not know the exact number — which means you have never looked. The answer is in the probate court records. What is the specific revenue value of not having looked?</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Probate Practice Launch</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This week: access your county probate court filings. Pull all real property filings from the last 90 days. Create the tracking spreadsheet. Write letters to every identified personal representative. Research your state's probate sale mechanics completely — this takes four hours and produces the knowledge that no other agent in your market has. Write the Estate Sale Guide for Executors — two pages, clear language, covering the process from appointment to closing. Identify the top five probate attorneys in your market. Write introduction letters to all five. Accept every meeting that results. The first referral transaction from this practice is an audition for the next decade of referrals that follow it. Treat it accordingly.</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V</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Reluctant Partner</w:t>
      </w:r>
    </w:p>
    <w:p>
      <w:pPr>
        <w:spacing w:before="60" w:after="300"/>
        <w:jc w:val="left"/>
      </w:pPr>
      <w:r>
        <w:rPr>
          <w:rFonts w:ascii="Garamond" w:cs="Garamond" w:eastAsia="Garamond" w:hAnsi="Garamond"/>
          <w:b w:val="false"/>
          <w:bCs w:val="false"/>
          <w:i/>
          <w:iCs/>
          <w:color w:val="555555"/>
          <w:sz w:val="26"/>
          <w:szCs w:val="26"/>
        </w:rPr>
        <w:t xml:space="preserve">Every couple that enters your office contains one person who has already decided and one person who is the actual decision. The industry teaches agents to close the enthusiastic partner. The enthusiastic partner is already closed. The reluctant partner is the only conversation that matters — and almost no agent in any market is having it.</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transaction is blocked by the person who is not speaking. Your entire presentation has been aimed at the person who was never the question. The question is the one who is quiet. They have been waiting their entire adult life for a professional who would notice them.</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The asymmetry of enthusiasm in a couple navigating a major real estate decision is one of the most visible and most consistently misread dynamics in the entire business. One partner arrives at every interaction with the research done, the opinions formed, the emotional investment already made. They have checked Zillow at midnight. They have driven past the property without telling their partner they were doing it. They know what they want, they believe they have found it, and they need the transaction to happen. The other partner is present physically. Engaged enough to be in the room. And somewhere between genuinely undecided and quietly opposed.</w:t>
      </w:r>
    </w:p>
    <w:p>
      <w:pPr>
        <w:spacing w:before="160" w:after="100"/>
        <w:jc w:val="both"/>
      </w:pPr>
      <w:r>
        <w:rPr>
          <w:rFonts w:ascii="Garamond" w:cs="Garamond" w:eastAsia="Garamond" w:hAnsi="Garamond"/>
          <w:b w:val="false"/>
          <w:bCs w:val="false"/>
          <w:i w:val="false"/>
          <w:iCs w:val="false"/>
          <w:color w:val="1A1A1A"/>
          <w:sz w:val="24"/>
          <w:szCs w:val="24"/>
        </w:rPr>
        <w:t xml:space="preserve">The enthusiastic partner has already bought — emotionally, intellectually, financially in their own mind. What they need from the transaction is not persuasion. It is confirmation. The agent who spends the entire presentation persuading the enthusiastic partner is providing confirmation to someone who was already confirmed. This is the most common misallocation of professional attention available in the residential business: directing the entire presentation at the person who needed none of it.</w:t>
      </w:r>
    </w:p>
    <w:p>
      <w:pPr>
        <w:spacing w:before="160" w:after="100"/>
        <w:jc w:val="both"/>
      </w:pPr>
      <w:r>
        <w:rPr>
          <w:rFonts w:ascii="Garamond" w:cs="Garamond" w:eastAsia="Garamond" w:hAnsi="Garamond"/>
          <w:b w:val="false"/>
          <w:bCs w:val="false"/>
          <w:i w:val="false"/>
          <w:iCs w:val="false"/>
          <w:color w:val="1A1A1A"/>
          <w:sz w:val="24"/>
          <w:szCs w:val="24"/>
        </w:rPr>
        <w:t xml:space="preserve">The reluctant partner is the buyer. Not because they want the property less — they may ultimately want it as much or more. Because their buying decision has not yet been made. And because the enthusiastic partner's buying decision is entirely contingent on the reluctant partner's genuine comfort. Not just their signature — their genuine comfort. The transaction that completes without the reluctant partner's genuine comfort is at risk at every subsequent stage: the inspection negotiation where the reluctant partner's unexpressed anxiety becomes a reason to walk away, the appraisal gap where the reluctant partner's unresolved ambivalence produces the unwillingness to bridge it, the post-close period where buyer's remorse is actually the pre-close reluctance that was never resolved.</w:t>
      </w:r>
    </w:p>
    <w:p>
      <w:pPr>
        <w:spacing w:before="160" w:after="100"/>
        <w:jc w:val="both"/>
      </w:pPr>
      <w:r>
        <w:rPr>
          <w:rFonts w:ascii="Garamond" w:cs="Garamond" w:eastAsia="Garamond" w:hAnsi="Garamond"/>
          <w:b w:val="false"/>
          <w:bCs w:val="false"/>
          <w:i w:val="false"/>
          <w:iCs w:val="false"/>
          <w:color w:val="1A1A1A"/>
          <w:sz w:val="24"/>
          <w:szCs w:val="24"/>
        </w:rPr>
        <w:t xml:space="preserve">The reluctant partner's reluctance is almost never about the property. This is the specific misunderstanding that costs agents the most transactions. The agent who responds to the reluctant partner's hesitation by showing more properties, adjusting the price point, or addressing the stated objections about the house is addressing the proxy concern, not the actual one. The actual concern is one of a small set of specific human fears the reluctant partner has not named because naming it requires a level of vulnerability that the group context — the agent, the enthusiastic partner, the transaction pressure — does not provide.</w:t>
      </w:r>
    </w:p>
    <w:p>
      <w:pPr>
        <w:spacing w:before="160" w:after="100"/>
        <w:jc w:val="both"/>
      </w:pPr>
      <w:r>
        <w:rPr>
          <w:rFonts w:ascii="Garamond" w:cs="Garamond" w:eastAsia="Garamond" w:hAnsi="Garamond"/>
          <w:b w:val="false"/>
          <w:bCs w:val="false"/>
          <w:i w:val="false"/>
          <w:iCs w:val="false"/>
          <w:color w:val="1A1A1A"/>
          <w:sz w:val="24"/>
          <w:szCs w:val="24"/>
        </w:rPr>
        <w:t xml:space="preserve">The financial fear: the specific anxiety that the couple is overextending, that the payment is at the edge of what the income supports, and that any disruption creates a crisis. The reluctant partner who carries this fear will not name it in front of the enthusiastic partner because naming it implies doubt about the partnership's financial management, which feels disloyal. The relationship fear: the quiet concern that a major joint financial decision will create stress the relationship cannot absorb — not because the relationship is fragile, but because the reluctant partner has observed other couples navigate real estate and has seen the specific strain it produces. The commitment fear: the specific anxiety about permanence that is distinct from any practical concerns about the specific property. The prior loss fear: the sensitivity produced by a previous failed offer, a previous transaction that fell apart, a previous purchase that produced regret. The recognition fear: the quiet terror of choosing wrongly in front of the person whose judgment the reluctant partner most wants to respect.</w:t>
      </w:r>
    </w:p>
    <w:p>
      <w:pPr>
        <w:spacing w:before="160" w:after="100"/>
        <w:jc w:val="both"/>
      </w:pPr>
      <w:r>
        <w:rPr>
          <w:rFonts w:ascii="Garamond" w:cs="Garamond" w:eastAsia="Garamond" w:hAnsi="Garamond"/>
          <w:b w:val="false"/>
          <w:bCs w:val="false"/>
          <w:i w:val="false"/>
          <w:iCs w:val="false"/>
          <w:color w:val="1A1A1A"/>
          <w:sz w:val="24"/>
          <w:szCs w:val="24"/>
        </w:rPr>
        <w:t xml:space="preserve">None of these fears are addressed by property features. None of them are resolved by additional showings. They are addressed by the agent who creates a specific space in which the fear can be named without shame. This space cannot be created in front of the enthusiastic partner. The enthusiastic partner's presence, however well-intentioned, produces the specific social dynamic that prevents the naming. The reluctant partner cannot admit to financial anxiety in front of the partner who is already certain the finances work. The admission requires privacy. The privacy requires the agent to create a moment — in the property tour, in a follow-up call, in any natural space in the interaction — where the genuine question can be asked and genuinely answered.</w:t>
      </w:r>
    </w:p>
    <w:p>
      <w:pPr>
        <w:spacing w:before="160" w:after="100"/>
        <w:jc w:val="both"/>
      </w:pPr>
      <w:r>
        <w:rPr>
          <w:rFonts w:ascii="Garamond" w:cs="Garamond" w:eastAsia="Garamond" w:hAnsi="Garamond"/>
          <w:b w:val="false"/>
          <w:bCs w:val="false"/>
          <w:i w:val="false"/>
          <w:iCs w:val="false"/>
          <w:color w:val="1A1A1A"/>
          <w:sz w:val="24"/>
          <w:szCs w:val="24"/>
        </w:rPr>
        <w:t xml:space="preserve">The PLT dimension of the reluctant partner dynamic: the Love account deposit produced by the act of specifically noticing and specifically caring for the partner who was not receiving attention is among the deepest available in any buyer relationship. Not because the reluctant partner is grateful for the attention — though they are — but because the attention converts their experience of the transaction from one in which they felt like an obstacle to one in which they felt like the most important person in the room. The person who felt like the most important person in the room does not just complete the transaction. They become the agent's most enthusiastic advocate in the years that follow. The referral from the formerly reluctant partner is the referral that contains the most specific narrative: "The agent talked to me separately and figured out what I was actually worried about." That narrative produces the second transaction before the agent has finished writing the thank-you note.</w:t>
      </w:r>
    </w:p>
    <w:p>
      <w:pPr>
        <w:spacing w:before="160" w:after="100"/>
        <w:jc w:val="both"/>
      </w:pPr>
      <w:r>
        <w:rPr>
          <w:rFonts w:ascii="Garamond" w:cs="Garamond" w:eastAsia="Garamond" w:hAnsi="Garamond"/>
          <w:b w:val="false"/>
          <w:bCs w:val="false"/>
          <w:i w:val="false"/>
          <w:iCs w:val="false"/>
          <w:color w:val="1A1A1A"/>
          <w:sz w:val="24"/>
          <w:szCs w:val="24"/>
        </w:rPr>
        <w:t xml:space="preserve">The compound of the reluctant partner practice across a career: the agent who consistently identifies and genuinely serves the reluctant partner in every couple interaction is producing a referral quality and a transaction completion rate that is measurably and significantly different from every agent in the market who does not. This difference is not visible in a single transaction. It is visible across five years of client relationship outcomes, where the completion rate is higher, the satisfaction scores are higher, the referral rate is higher, and the specific quality of the referred clients is higher — because the people who refer are the ones who felt most seen, and the people who felt most seen are the ones who received the most attention that the entire industry was not providing.</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Identify the reluctant partner within the first ten minutes of any couple interaction. The diagnostic signals are specific and consistent: shorter, more qualified answers where the enthusiastic partner gives longer, certain ones. Questions that seek confirmation rather than information. Body language that is slightly more contained — arms closer to the body, leaning slightly back rather than forward, face less animated in response to property features. The specific verbal tell: more frequent deferral to the partner — "What do you think?" asked in a tone that sounds like genuine question rather than rhetorical inclusion. The agent who is looking for these signals finds them within three minutes. The agent who is not looking for them misses them entirely.</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Once identified, consciously redirect sixty percent of your attention to the reluctant partner. Not dramatically — not in a way visible as technique or that makes the enthusiastic partner feel excluded. Naturally. Ask the reluctant partner the first question in any new topic. Address the answer to your explanation primarily to the reluctant partner. Make eye contact with the reluctant partner first when checking comprehension. When summarizing, direct the summary to the reluctant partner. The redistribution is felt as rightness by both partners: the enthusiastic partner reads it as professionalism, the reluctant partner reads it as the recognition they have been waiting for.</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Create the private conversation moment. In a property tour, this occurs naturally: the enthusiastic partner runs ahead to the kitchen or the master suite while you have thirty seconds with the reluctant partner in the hallway or the entry. Use it. Not to close — to ask: "Quick question just between us — what's your honest first reaction?" The question is simple. The fact that it was asked in private, when the other partner was not present, creates a conversation quality the group context cannot produce. The reluctant partner, in thirty seconds of privacy, will frequently tell you the thing they have not said in any group context: the specific concern, the specific hesitation, the specific thing they are carrying that is blocking the decision.</w:t>
      </w:r>
    </w:p>
    <w:p>
      <w:pPr>
        <w:spacing w:before="90" w:after="70"/>
        <w:ind w:left="220"/>
      </w:pPr>
      <w:r>
        <w:rPr>
          <w:rFonts w:ascii="Garamond" w:cs="Garamond" w:eastAsia="Garamond" w:hAnsi="Garamond"/>
          <w:b/>
          <w:bCs/>
          <w:i w:val="false"/>
          <w:iCs w:val="false"/>
          <w:color w:val="C4A95A"/>
          <w:sz w:val="22"/>
          <w:szCs w:val="22"/>
        </w:rPr>
        <w:t xml:space="preserve">4.  </w:t>
      </w:r>
      <w:r>
        <w:rPr>
          <w:rFonts w:ascii="Garamond" w:cs="Garamond" w:eastAsia="Garamond" w:hAnsi="Garamond"/>
          <w:b w:val="false"/>
          <w:bCs w:val="false"/>
          <w:i w:val="false"/>
          <w:iCs w:val="false"/>
          <w:color w:val="1A1A1A"/>
          <w:sz w:val="22"/>
          <w:szCs w:val="22"/>
        </w:rPr>
        <w:t xml:space="preserve">The specific private question that unblocks the most transactions: "I want to ask you something directly — is there anything about making this specific decision that feels scary in a way that goes beyond the normal nervousness of a big purchase?" This question does three things. First: it names the possibility of fear without shame, normalizing it as something distinct from ordinary transaction anxiety. Second: it gives the reluctant partner permission to answer honestly rather than managerially. Third: it demonstrates a quality of attention the reluctant partner has rarely encountered in any professional relationship — the professional who is asking about the fear beneath the hesitation rather than addressing the hesitation itself. The response rate to this question, when asked genuinely in a private moment, is approximately 80%. The information received changes the transaction outcome in approximately 65% of cases.</w:t>
      </w:r>
    </w:p>
    <w:p>
      <w:pPr>
        <w:spacing w:before="90" w:after="70"/>
        <w:ind w:left="220"/>
      </w:pPr>
      <w:r>
        <w:rPr>
          <w:rFonts w:ascii="Garamond" w:cs="Garamond" w:eastAsia="Garamond" w:hAnsi="Garamond"/>
          <w:b/>
          <w:bCs/>
          <w:i w:val="false"/>
          <w:iCs w:val="false"/>
          <w:color w:val="C4A95A"/>
          <w:sz w:val="22"/>
          <w:szCs w:val="22"/>
        </w:rPr>
        <w:t xml:space="preserve">5.  </w:t>
      </w:r>
      <w:r>
        <w:rPr>
          <w:rFonts w:ascii="Garamond" w:cs="Garamond" w:eastAsia="Garamond" w:hAnsi="Garamond"/>
          <w:b w:val="false"/>
          <w:bCs w:val="false"/>
          <w:i w:val="false"/>
          <w:iCs w:val="false"/>
          <w:color w:val="1A1A1A"/>
          <w:sz w:val="22"/>
          <w:szCs w:val="22"/>
        </w:rPr>
        <w:t xml:space="preserve">The follow-up call to the reluctant partner specifically. After any showing where you sensed unresolved reluctance, call the reluctant partner directly — not both partners on a shared call, the reluctant one, on their individual line. Language: "I wanted to check in with you specifically — not as a couple, just with you. I sometimes find there are things that are easier to discuss one-on-one and I wanted to make sure you had the space to say anything that was harder to say with [partner name] there." This call, made within twenty-four hours of the showing, produces the genuine conversation in approximately sixty percent of cases. The conversation is the turning point that the group setting was preventing.</w:t>
      </w:r>
    </w:p>
    <w:p>
      <w:pPr>
        <w:spacing w:before="90" w:after="70"/>
        <w:ind w:left="220"/>
      </w:pPr>
      <w:r>
        <w:rPr>
          <w:rFonts w:ascii="Garamond" w:cs="Garamond" w:eastAsia="Garamond" w:hAnsi="Garamond"/>
          <w:b/>
          <w:bCs/>
          <w:i w:val="false"/>
          <w:iCs w:val="false"/>
          <w:color w:val="C4A95A"/>
          <w:sz w:val="22"/>
          <w:szCs w:val="22"/>
        </w:rPr>
        <w:t xml:space="preserve">6.  </w:t>
      </w:r>
      <w:r>
        <w:rPr>
          <w:rFonts w:ascii="Garamond" w:cs="Garamond" w:eastAsia="Garamond" w:hAnsi="Garamond"/>
          <w:b w:val="false"/>
          <w:bCs w:val="false"/>
          <w:i w:val="false"/>
          <w:iCs w:val="false"/>
          <w:color w:val="1A1A1A"/>
          <w:sz w:val="22"/>
          <w:szCs w:val="22"/>
        </w:rPr>
        <w:t xml:space="preserve">Specific responses to specific fears. Financial anxiety: do not respond with affordability justification — respond with the honest numbers. Pull up the payment calculator together. Run three income scenarios: current income, income reduced by 20%, income reduced by 40%. Show the payment at each level. Let the numbers speak. The reluctant partner who runs the honest scenario analysis with the agent and finds the payment works even under stress is converted by the data. The reluctant partner who is told the numbers work without seeing them is not. Prior loss fear: name it directly. "It sounds like what happened with [the previous experience] is still present for you. That makes complete sense. Can I tell you specifically what is different about this situation?" Never minimize the prior experience. Validate it fully. Then differentiate the current situation from it with specific evidence. Commitment fear: slow the process deliberately. The reluctant partner experiencing commitment anxiety needs time, not acceleration. The agent who slows deliberately — "There is genuinely no reason to decide before next weekend — let's give this room" — counterintuitively accelerates the decision by removing the pressure that was producing the freeze.</w:t>
      </w:r>
    </w:p>
    <w:p>
      <w:pPr>
        <w:spacing w:before="90" w:after="70"/>
        <w:ind w:left="220"/>
      </w:pPr>
      <w:r>
        <w:rPr>
          <w:rFonts w:ascii="Garamond" w:cs="Garamond" w:eastAsia="Garamond" w:hAnsi="Garamond"/>
          <w:b/>
          <w:bCs/>
          <w:i w:val="false"/>
          <w:iCs w:val="false"/>
          <w:color w:val="C4A95A"/>
          <w:sz w:val="22"/>
          <w:szCs w:val="22"/>
        </w:rPr>
        <w:t xml:space="preserve">7.  </w:t>
      </w:r>
      <w:r>
        <w:rPr>
          <w:rFonts w:ascii="Garamond" w:cs="Garamond" w:eastAsia="Garamond" w:hAnsi="Garamond"/>
          <w:b w:val="false"/>
          <w:bCs w:val="false"/>
          <w:i w:val="false"/>
          <w:iCs w:val="false"/>
          <w:color w:val="1A1A1A"/>
          <w:sz w:val="22"/>
          <w:szCs w:val="22"/>
        </w:rPr>
        <w:t xml:space="preserve">Never apply pressure to the reluctant partner. The agent who uses closing techniques, urgency framing, or competitive pressure on the reluctant partner is applying the wrong tool to the wrong variable and producing the precise opposite of the intended effect. Pressure applied to genuine fear produces entrenchment. The reluctant partner who is pressed retreats behind the stated objection — wrong price, wrong neighborhood, wrong layout — and the real concern goes underground, where it becomes unreachable. The agent who removes pressure, who demonstrates patience with genuine concern, who proves through their behavior that no decision needs to be made until the reluctant partner is genuinely ready, is the agent who eventually has the fully committed buyer on the other side — and the most loyal referral source available afterward.</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Three showings. Same couple. Three agents. Marcus (enthusiastic) and Diana (reluctant). Real concern: Diana fears overextension if Marcus loses his consulting contract.</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1: Directs full showing to Marcus. Diana receives 15% of attention.</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1</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-7</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-7.5</w:t>
      </w:r>
      <w:r>
        <w:rPr>
          <w:rFonts w:ascii="Garamond" w:cs="Garamond" w:eastAsia="Garamond" w:hAnsi="Garamond"/>
          <w:b w:val="false"/>
          <w:bCs w:val="false"/>
          <w:i/>
          <w:iCs/>
          <w:color w:val="555555"/>
          <w:sz w:val="18"/>
          <w:szCs w:val="18"/>
        </w:rPr>
        <w:t xml:space="preserve">  — Diana never names her concern. Offer not written. "We need more time to think." Transaction lost.</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2: Attempts to engage Diana with property features. Diana deflects politely.</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-4</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7</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-4.5</w:t>
      </w:r>
      <w:r>
        <w:rPr>
          <w:rFonts w:ascii="Garamond" w:cs="Garamond" w:eastAsia="Garamond" w:hAnsi="Garamond"/>
          <w:b w:val="false"/>
          <w:bCs w:val="false"/>
          <w:i/>
          <w:iCs/>
          <w:color w:val="555555"/>
          <w:sz w:val="18"/>
          <w:szCs w:val="18"/>
        </w:rPr>
        <w:t xml:space="preserve">  — Still addressing the proxy. The fear is financial, not aesthetic. More features solve nothing.</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3: Identifies Diana as the decision. Creates private hallway moment. "Honest first reaction?"</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7</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9.0</w:t>
      </w:r>
      <w:r>
        <w:rPr>
          <w:rFonts w:ascii="Garamond" w:cs="Garamond" w:eastAsia="Garamond" w:hAnsi="Garamond"/>
          <w:b w:val="false"/>
          <w:bCs w:val="false"/>
          <w:i/>
          <w:iCs/>
          <w:color w:val="555555"/>
          <w:sz w:val="18"/>
          <w:szCs w:val="18"/>
        </w:rPr>
        <w:t xml:space="preserve">  — Diana: "I just don't know if we can handle it if his income changes." The real concern is named for the first time.</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3 runs three-scenario income analysis with Diana: current, -20%, -40%.</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10.0</w:t>
      </w:r>
      <w:r>
        <w:rPr>
          <w:rFonts w:ascii="Garamond" w:cs="Garamond" w:eastAsia="Garamond" w:hAnsi="Garamond"/>
          <w:b w:val="false"/>
          <w:bCs w:val="false"/>
          <w:i/>
          <w:iCs/>
          <w:color w:val="555555"/>
          <w:sz w:val="18"/>
          <w:szCs w:val="18"/>
        </w:rPr>
        <w:t xml:space="preserve">  — Diana sees the numbers. The payment works in all three scenarios. The fear had an answer. Nobody had provided it.</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3 makes the follow-up call to Diana specifically: "Just checking in with you one-on-one."</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10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10.5</w:t>
      </w:r>
      <w:r>
        <w:rPr>
          <w:rFonts w:ascii="Garamond" w:cs="Garamond" w:eastAsia="Garamond" w:hAnsi="Garamond"/>
          <w:b w:val="false"/>
          <w:bCs w:val="false"/>
          <w:i/>
          <w:iCs/>
          <w:color w:val="555555"/>
          <w:sz w:val="18"/>
          <w:szCs w:val="18"/>
        </w:rPr>
        <w:t xml:space="preserve">  — Diana: "I actually feel good about it. I think we should write the offer."</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Diana becomes the transaction's primary advocate. "Marcus, I'm ready. Let's do it."</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10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10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11.0</w:t>
      </w:r>
      <w:r>
        <w:rPr>
          <w:rFonts w:ascii="Garamond" w:cs="Garamond" w:eastAsia="Garamond" w:hAnsi="Garamond"/>
          <w:b w:val="false"/>
          <w:bCs w:val="false"/>
          <w:i/>
          <w:iCs/>
          <w:color w:val="555555"/>
          <w:sz w:val="18"/>
          <w:szCs w:val="18"/>
        </w:rPr>
        <w:t xml:space="preserve">  — The reluctant partner, genuinely heard and genuinely answered, becomes the most committed partner in the transaction.</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Transaction closes. Marcus and Diana refer three colleagues in the following 18 months.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10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10.5</w:t>
      </w:r>
      <w:r>
        <w:rPr>
          <w:rFonts w:ascii="Garamond" w:cs="Garamond" w:eastAsia="Garamond" w:hAnsi="Garamond"/>
          <w:b w:val="false"/>
          <w:bCs w:val="false"/>
          <w:i/>
          <w:iCs/>
          <w:color w:val="555555"/>
          <w:sz w:val="18"/>
          <w:szCs w:val="18"/>
        </w:rPr>
        <w:t xml:space="preserve">  — Every referral includes the specific narrative: "The agent figured out what Diana was actually worried about."</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Three referrals from the reluctant-partner-converted transaction.</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Three transactions. From one private hallway moment. The three-transaction value of the original transaction: $41,000+.</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In your last five transactions with couples: who was the reluctant partner? What was their specific concern? Did you discover it before or after the transaction stalled or collapsed? If after — what was the financial and relational cost of the delay? And what would have been required to discover it earlier?</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Partner Attention Practice</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After every showing with a couple, score two metrics privately. First: what percentage of your attention went to the reluctant partner — target 55-65%. Second: did you create a private conversation moment, and did you ask the genuine question? If the score on either was inadequate, make the follow-up call to the reluctant partner within 24 hours. Ask the private question. Document what you learn. Track transaction outcomes against attention scores across the next ten couples. The correlation between the reluctant partner attention score and the transaction completion rate will be visible, significant, and permanent in how you run every subsequent showing.</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80"/>
        <w:jc w:val="center"/>
      </w:pPr>
      <w:r>
        <w:rPr>
          <w:rFonts w:ascii="Garamond" w:cs="Garamond" w:eastAsia="Garamond" w:hAnsi="Garamond"/>
          <w:b/>
          <w:bCs/>
          <w:i w:val="false"/>
          <w:iCs w:val="false"/>
          <w:color w:val="C4A95A"/>
          <w:sz w:val="52"/>
          <w:szCs w:val="52"/>
        </w:rPr>
        <w:t xml:space="preserve">BOOK II</w:t>
      </w:r>
    </w:p>
    <w:p>
      <w:pPr>
        <w:spacing w:before="0" w:after="100"/>
        <w:jc w:val="center"/>
      </w:pPr>
      <w:r>
        <w:rPr>
          <w:rFonts w:ascii="Garamond" w:cs="Garamond" w:eastAsia="Garamond" w:hAnsi="Garamond"/>
          <w:b/>
          <w:bCs/>
          <w:i w:val="false"/>
          <w:iCs w:val="false"/>
          <w:color w:val="0A0A0A"/>
          <w:sz w:val="52"/>
          <w:szCs w:val="52"/>
        </w:rPr>
        <w:t xml:space="preserve">THE ESTATE OF THE CLIENT</w:t>
      </w:r>
    </w:p>
    <w:p>
      <w:pPr>
        <w:pBdr>
          <w:bottom w:val="single" w:color="C4A95A" w:sz="6" w:space="8"/>
        </w:pBdr>
        <w:spacing w:before="0" w:after="200"/>
        <w:jc w:val="center"/>
      </w:pPr>
      <w:r>
        <w:rPr>
          <w:rFonts w:ascii="Garamond" w:cs="Garamond" w:eastAsia="Garamond" w:hAnsi="Garamond"/>
          <w:b w:val="false"/>
          <w:bCs w:val="false"/>
          <w:i/>
          <w:iCs/>
          <w:color w:val="555555"/>
          <w:sz w:val="28"/>
          <w:szCs w:val="28"/>
        </w:rPr>
        <w:t xml:space="preserve">What they are actually thinking, fearing, hiding, and needing. Not what they say.</w:t>
      </w:r>
    </w:p>
    <w:p>
      <w:pPr>
        <w:spacing w:before="160" w:after="100"/>
        <w:jc w:val="both"/>
      </w:pPr>
      <w:r>
        <w:rPr>
          <w:rFonts w:ascii="Garamond" w:cs="Garamond" w:eastAsia="Garamond" w:hAnsi="Garamond"/>
          <w:b w:val="false"/>
          <w:bCs w:val="false"/>
          <w:i w:val="false"/>
          <w:iCs w:val="false"/>
          <w:color w:val="1A1A1A"/>
          <w:sz w:val="24"/>
          <w:szCs w:val="24"/>
        </w:rPr>
        <w:t xml:space="preserve">The client sitting across from you is not evaluating properties or comparing market statistics. They are managing a specific emotional architecture — a combination of fear, hope, identity, and relational dynamics — that the property transaction is forcing them to navigate. The agents who understand this architecture do not sell real estate. They navigate human situations that happen to involve real estate. The difference in outcome between these two approaches is not small. It is the difference between a transactional career that starts over every January and a relational career that compounds every year.</w:t>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VI</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Net Sheet First</w:t>
      </w:r>
    </w:p>
    <w:p>
      <w:pPr>
        <w:spacing w:before="60" w:after="300"/>
        <w:jc w:val="left"/>
      </w:pPr>
      <w:r>
        <w:rPr>
          <w:rFonts w:ascii="Garamond" w:cs="Garamond" w:eastAsia="Garamond" w:hAnsi="Garamond"/>
          <w:b w:val="false"/>
          <w:bCs w:val="false"/>
          <w:i/>
          <w:iCs/>
          <w:color w:val="555555"/>
          <w:sz w:val="26"/>
          <w:szCs w:val="26"/>
        </w:rPr>
        <w:t xml:space="preserve">The seller is not calculating the price. They are calculating whether they can afford what comes next. The agent who answers the real question first wins the listing before the presentation begins — because they are the only agent in the room who knew what the real question was.</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client's stated question is always a proxy for the question they are actually asking. The agent who answers the proxy loses to the agent who answers the real question. The real question is almost never about price.</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Every listing appointment has a stated agenda and a real agenda operating simultaneously. The stated agenda is the pricing conversation — what is my home worth, what will you do to sell it, what is your commission. The real agenda, operating beneath the stated one and never articulated, is a single existential question: can I afford to make this move? Not "what is my home worth" but "will what my home produces be enough for the next chapter of my life?"</w:t>
      </w:r>
    </w:p>
    <w:p>
      <w:pPr>
        <w:spacing w:before="160" w:after="100"/>
        <w:jc w:val="both"/>
      </w:pPr>
      <w:r>
        <w:rPr>
          <w:rFonts w:ascii="Garamond" w:cs="Garamond" w:eastAsia="Garamond" w:hAnsi="Garamond"/>
          <w:b w:val="false"/>
          <w:bCs w:val="false"/>
          <w:i w:val="false"/>
          <w:iCs w:val="false"/>
          <w:color w:val="1A1A1A"/>
          <w:sz w:val="24"/>
          <w:szCs w:val="24"/>
        </w:rPr>
        <w:t xml:space="preserve">The seller considering a listing is almost never calculating price in isolation. They are calculating net proceeds — the specific dollar amount that will be in their bank account after commission, closing costs, outstanding mortgage, any seller concessions, and the carrying costs of the transaction period. They are calculating that number against the cost of what comes next: the down payment on the next property, the moving costs, the overlap period, the specific financial reality of the transition they are contemplating.</w:t>
      </w:r>
    </w:p>
    <w:p>
      <w:pPr>
        <w:spacing w:before="160" w:after="100"/>
        <w:jc w:val="both"/>
      </w:pPr>
      <w:r>
        <w:rPr>
          <w:rFonts w:ascii="Garamond" w:cs="Garamond" w:eastAsia="Garamond" w:hAnsi="Garamond"/>
          <w:b w:val="false"/>
          <w:bCs w:val="false"/>
          <w:i w:val="false"/>
          <w:iCs w:val="false"/>
          <w:color w:val="1A1A1A"/>
          <w:sz w:val="24"/>
          <w:szCs w:val="24"/>
        </w:rPr>
        <w:t xml:space="preserve">If the net proceeds number does not support what comes next, there is no transaction. Or there is a transaction that should not have been initiated — the seller who lists, accepts an offer, and then, at the moment the net sheet becomes concrete rather than theoretical, discovers that the numbers do not work for the life they were planning. This discovery produces one of the most expensive outcomes in residential real estate: the seller who backs out, or the seller who closes but with a resentment toward the agent who never showed them the real numbers until the transaction was too far along to reverse without significant cost.</w:t>
      </w:r>
    </w:p>
    <w:p>
      <w:pPr>
        <w:spacing w:before="160" w:after="100"/>
        <w:jc w:val="both"/>
      </w:pPr>
      <w:r>
        <w:rPr>
          <w:rFonts w:ascii="Garamond" w:cs="Garamond" w:eastAsia="Garamond" w:hAnsi="Garamond"/>
          <w:b w:val="false"/>
          <w:bCs w:val="false"/>
          <w:i w:val="false"/>
          <w:iCs w:val="false"/>
          <w:color w:val="1A1A1A"/>
          <w:sz w:val="24"/>
          <w:szCs w:val="24"/>
        </w:rPr>
        <w:t xml:space="preserve">The agent who opens with the net sheet — who says, before the presentation, before the pricing discussion, before the brokerage overview and the marketing plan and the production statistics — "Before we look at any numbers, let me show you what this sale actually puts in your pocket at different price points" — is answering the only question that actually matters at that moment. They are doing something almost no agent does: treating the seller as someone making a financial decision rather than as a prospect to be closed.</w:t>
      </w:r>
    </w:p>
    <w:p>
      <w:pPr>
        <w:spacing w:before="160" w:after="100"/>
        <w:jc w:val="both"/>
      </w:pPr>
      <w:r>
        <w:rPr>
          <w:rFonts w:ascii="Garamond" w:cs="Garamond" w:eastAsia="Garamond" w:hAnsi="Garamond"/>
          <w:b w:val="false"/>
          <w:bCs w:val="false"/>
          <w:i w:val="false"/>
          <w:iCs w:val="false"/>
          <w:color w:val="1A1A1A"/>
          <w:sz w:val="24"/>
          <w:szCs w:val="24"/>
        </w:rPr>
        <w:t xml:space="preserve">The power of this approach is not psychological manipulation. It is the specific power of relevance. The seller who has been sitting with the anxiety of "can I afford this move" for weeks or months arrives at the listing appointment carrying that anxiety, unable to fully attend to any presentation content until the anxiety is addressed. The net sheet addresses it in the first five minutes. The seller who sees the net proceeds calculation — who sees the specific dollar amount at different price points, who can compare that number to the cost of what comes next — is a seller whose anxiety has been resolved by information rather than deferred by presentation. That seller listens differently. They make decisions differently. They are a different participant in the listing appointment.</w:t>
      </w:r>
    </w:p>
    <w:p>
      <w:pPr>
        <w:spacing w:before="160" w:after="100"/>
        <w:jc w:val="both"/>
      </w:pPr>
      <w:r>
        <w:rPr>
          <w:rFonts w:ascii="Garamond" w:cs="Garamond" w:eastAsia="Garamond" w:hAnsi="Garamond"/>
          <w:b w:val="false"/>
          <w:bCs w:val="false"/>
          <w:i w:val="false"/>
          <w:iCs w:val="false"/>
          <w:color w:val="1A1A1A"/>
          <w:sz w:val="24"/>
          <w:szCs w:val="24"/>
        </w:rPr>
        <w:t xml:space="preserve">The net sheet first approach also produces a specific and profound competitive advantage: the agent who shows the seller the net sheet before the price conversation has reframed the price conversation entirely. The price is no longer an abstract aspirational number the seller is negotiating from identity. It is a variable in a financial calculation the seller has already run. The seller who has seen that the realistic price of $498,000 produces a net of $87,000 and the aspirational price of $525,000 produces a net of $102,000 — and that the aspirational price carries an extended timeline risk that might reduce the ultimate net below the realistic price — is making a financial decision rather than an emotional one. The financial decision is the one the agent can actually help with.</w:t>
      </w:r>
    </w:p>
    <w:p>
      <w:pPr>
        <w:spacing w:before="160" w:after="100"/>
        <w:jc w:val="both"/>
      </w:pPr>
      <w:r>
        <w:rPr>
          <w:rFonts w:ascii="Garamond" w:cs="Garamond" w:eastAsia="Garamond" w:hAnsi="Garamond"/>
          <w:b w:val="false"/>
          <w:bCs w:val="false"/>
          <w:i w:val="false"/>
          <w:iCs w:val="false"/>
          <w:color w:val="1A1A1A"/>
          <w:sz w:val="24"/>
          <w:szCs w:val="24"/>
        </w:rPr>
        <w:t xml:space="preserve">The deeper dimension: the seller whose financial reality does not support the move at any realistic market price is the seller the net sheet first approach identifies before the listing is taken. The agent who discovers this in the first five minutes of the listing appointment has done something genuinely valuable: they have saved both parties from a transaction that would have failed. The seller who is told honestly, before they have invested emotionally in the listing process, that the math does not support the move they are planning is a seller who has received the most useful professional guidance available — even though no listing resulted. This seller remembers the agent who told them the truth. When the math eventually works, they call.</w:t>
      </w:r>
    </w:p>
    <w:p>
      <w:pPr>
        <w:spacing w:before="160" w:after="100"/>
        <w:jc w:val="both"/>
      </w:pPr>
      <w:r>
        <w:rPr>
          <w:rFonts w:ascii="Garamond" w:cs="Garamond" w:eastAsia="Garamond" w:hAnsi="Garamond"/>
          <w:b w:val="false"/>
          <w:bCs w:val="false"/>
          <w:i w:val="false"/>
          <w:iCs w:val="false"/>
          <w:color w:val="1A1A1A"/>
          <w:sz w:val="24"/>
          <w:szCs w:val="24"/>
        </w:rPr>
        <w:t xml:space="preserve">The PLT of the net sheet first approach: the Profit from the listings it produces is full — these are sellers who have run the calculation, understood the outcome, and committed to the process with their eyes open. The Love account deposit from the transparency is significant — the seller who was shown the real numbers before being asked for the listing trusts the agent at a level that the seller who was shown the marketing plan first never reaches. The Tax is low because there is nothing to manage — the real question has been answered honestly from the first minute, and the entire subsequent relationship is built on accurate information.</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Build the net sheet template before the next listing appointment. One page. Dynamic fields for gross sale price at three scenarios. Fixed fields for your commission rate, estimated closing costs specific to your market (title insurance, transfer tax, attorney fees, recording fees — use your most recent actual closing statements to calibrate these), a field for the seller to fill in their outstanding mortgage balance, a field for any estimated seller concessions based on current market conditions, and a net proceeds calculation at the bottom of each scenario. This document should be comprehensible in thirty seconds. If it requires explanation to understand, simplify it.</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The opening sequence at every listing appointment: arrive with the net sheet ready but blank on the price fields and the mortgage field. Within the first five minutes, before any presentation content, before any brokerage overview, before any market statistics: "I want to start by answering what I believe is the most important question — not the price, but what this sale actually produces for you. Can I walk you through that first?" Every seller says yes. Every seller. Because this is the question they have been carrying for weeks and nobody has offered to answer it.</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Fill in the net sheet together. Ask the mortgage balance directly: "What do you approximately owe on the property?" The seller who shares this number is giving you the single most important variable in the transaction. The seller who does not know it is telling you they have not run this calculation — which means they have been operating on an incomplete understanding of their own financial position. Help them find it: "We can pull the approximate payoff from your most recent mortgage statement if you have it handy — it changes the whole picture."</w:t>
      </w:r>
    </w:p>
    <w:p>
      <w:pPr>
        <w:spacing w:before="90" w:after="70"/>
        <w:ind w:left="220"/>
      </w:pPr>
      <w:r>
        <w:rPr>
          <w:rFonts w:ascii="Garamond" w:cs="Garamond" w:eastAsia="Garamond" w:hAnsi="Garamond"/>
          <w:b/>
          <w:bCs/>
          <w:i w:val="false"/>
          <w:iCs w:val="false"/>
          <w:color w:val="C4A95A"/>
          <w:sz w:val="22"/>
          <w:szCs w:val="22"/>
        </w:rPr>
        <w:t xml:space="preserve">4.  </w:t>
      </w:r>
      <w:r>
        <w:rPr>
          <w:rFonts w:ascii="Garamond" w:cs="Garamond" w:eastAsia="Garamond" w:hAnsi="Garamond"/>
          <w:b w:val="false"/>
          <w:bCs w:val="false"/>
          <w:i w:val="false"/>
          <w:iCs w:val="false"/>
          <w:color w:val="1A1A1A"/>
          <w:sz w:val="22"/>
          <w:szCs w:val="22"/>
        </w:rPr>
        <w:t xml:space="preserve">Show three price scenarios simultaneously: the seller's target price, the realistic market price based on your CMA, and a price 5% below market. The visual comparison of net proceeds at all three prices does something no pricing conversation can do verbally: it makes the gap between aspirational and realistic visible in the only currency that matters — what the seller actually takes home. In most cases, the realistic price produces a net proceeds number within 3-7% of the aspirational price, while the risk profile is dramatically different. The seller who sees this comparison is making a rational financial decision. The seller who is told the aspirational price is unrealistic is being asked to accept the agent's opinion.</w:t>
      </w:r>
    </w:p>
    <w:p>
      <w:pPr>
        <w:spacing w:before="90" w:after="70"/>
        <w:ind w:left="220"/>
      </w:pPr>
      <w:r>
        <w:rPr>
          <w:rFonts w:ascii="Garamond" w:cs="Garamond" w:eastAsia="Garamond" w:hAnsi="Garamond"/>
          <w:b/>
          <w:bCs/>
          <w:i w:val="false"/>
          <w:iCs w:val="false"/>
          <w:color w:val="C4A95A"/>
          <w:sz w:val="22"/>
          <w:szCs w:val="22"/>
        </w:rPr>
        <w:t xml:space="preserve">5.  </w:t>
      </w:r>
      <w:r>
        <w:rPr>
          <w:rFonts w:ascii="Garamond" w:cs="Garamond" w:eastAsia="Garamond" w:hAnsi="Garamond"/>
          <w:b w:val="false"/>
          <w:bCs w:val="false"/>
          <w:i w:val="false"/>
          <w:iCs w:val="false"/>
          <w:color w:val="1A1A1A"/>
          <w:sz w:val="22"/>
          <w:szCs w:val="22"/>
        </w:rPr>
        <w:t xml:space="preserve">The most powerful moment in the net sheet first approach: the seller who sees that their realistic net proceeds number supports their next move — and that the aspirational price would not produce meaningfully more after accounting for extended market time, likely price reductions, and carrying costs during a longer transaction. This calculation, visible on paper rather than argued verbally, is the most persuasive pricing conversation in residential real estate. It is not the agent's opinion. It is the seller's own arithmetic.</w:t>
      </w:r>
    </w:p>
    <w:p>
      <w:pPr>
        <w:spacing w:before="90" w:after="70"/>
        <w:ind w:left="220"/>
      </w:pPr>
      <w:r>
        <w:rPr>
          <w:rFonts w:ascii="Garamond" w:cs="Garamond" w:eastAsia="Garamond" w:hAnsi="Garamond"/>
          <w:b/>
          <w:bCs/>
          <w:i w:val="false"/>
          <w:iCs w:val="false"/>
          <w:color w:val="C4A95A"/>
          <w:sz w:val="22"/>
          <w:szCs w:val="22"/>
        </w:rPr>
        <w:t xml:space="preserve">6.  </w:t>
      </w:r>
      <w:r>
        <w:rPr>
          <w:rFonts w:ascii="Garamond" w:cs="Garamond" w:eastAsia="Garamond" w:hAnsi="Garamond"/>
          <w:b w:val="false"/>
          <w:bCs w:val="false"/>
          <w:i w:val="false"/>
          <w:iCs w:val="false"/>
          <w:color w:val="1A1A1A"/>
          <w:sz w:val="22"/>
          <w:szCs w:val="22"/>
        </w:rPr>
        <w:t xml:space="preserve">The net sheet that reveals an insufficient net: the seller whose net proceeds at realistic market price do not support the move they are planning needs to hear this clearly, kindly, and immediately. The specific language: "The net from this sale at current market values would be approximately $X. Is that enough to make the next chapter work?" If the answer is no — the agent's next statement is one of the most valuable things any professional has ever said to this person: "Then let's talk about what needs to change for the math to work — whether that's timing, the next purchase, or something else entirely." This conversation does not produce a listing today. It produces a relationship that produces a listing when the conditions are right. And a referral before that, from a seller who was protected rather than processed.</w:t>
      </w:r>
    </w:p>
    <w:p>
      <w:pPr>
        <w:spacing w:before="90" w:after="70"/>
        <w:ind w:left="220"/>
      </w:pPr>
      <w:r>
        <w:rPr>
          <w:rFonts w:ascii="Garamond" w:cs="Garamond" w:eastAsia="Garamond" w:hAnsi="Garamond"/>
          <w:b/>
          <w:bCs/>
          <w:i w:val="false"/>
          <w:iCs w:val="false"/>
          <w:color w:val="C4A95A"/>
          <w:sz w:val="22"/>
          <w:szCs w:val="22"/>
        </w:rPr>
        <w:t xml:space="preserve">7.  </w:t>
      </w:r>
      <w:r>
        <w:rPr>
          <w:rFonts w:ascii="Garamond" w:cs="Garamond" w:eastAsia="Garamond" w:hAnsi="Garamond"/>
          <w:b w:val="false"/>
          <w:bCs w:val="false"/>
          <w:i w:val="false"/>
          <w:iCs w:val="false"/>
          <w:color w:val="1A1A1A"/>
          <w:sz w:val="22"/>
          <w:szCs w:val="22"/>
        </w:rPr>
        <w:t xml:space="preserve">The commission conversation within the net sheet context: when the commission is line-itemed in the net sheet from the first minute, it stops being a negotiation and becomes a visible component of the calculation. The seller who can see that the full commission at the realistic price still produces the net they need does not negotiate the commission. The seller who needs the full commission removed to make the net work has told you — through the arithmetic — that the pricing may need adjustment rather than the commission. The net sheet converts the commission conversation from a negotiation to a financial planning discussion. They are fundamentally different conversations.</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Two listing appointments. Same house. Same market. Same seller financial reality. Different first five minutes.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A: Opens with 47-page brokerage overview. Net sheet appears at minute 38.</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-4.0</w:t>
      </w:r>
      <w:r>
        <w:rPr>
          <w:rFonts w:ascii="Garamond" w:cs="Garamond" w:eastAsia="Garamond" w:hAnsi="Garamond"/>
          <w:b w:val="false"/>
          <w:bCs w:val="false"/>
          <w:i/>
          <w:iCs/>
          <w:color w:val="555555"/>
          <w:sz w:val="18"/>
          <w:szCs w:val="18"/>
        </w:rPr>
        <w:t xml:space="preserve">  — Seller does mental math the entire presentation, missing 80% of the content. Arrives at the price conversation defensive.</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B: Opens with net sheet. Fills in together. Price visible in financial context from minute 3.</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10.0</w:t>
      </w:r>
      <w:r>
        <w:rPr>
          <w:rFonts w:ascii="Garamond" w:cs="Garamond" w:eastAsia="Garamond" w:hAnsi="Garamond"/>
          <w:b w:val="false"/>
          <w:bCs w:val="false"/>
          <w:i/>
          <w:iCs/>
          <w:color w:val="555555"/>
          <w:sz w:val="18"/>
          <w:szCs w:val="18"/>
        </w:rPr>
        <w:t xml:space="preserve">  — Seller fully engaged. The presentation is about their situation, not the agent's production. Price conversation already happening.</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A price recommendation rejected: "We think it should be higher."</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1</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-4</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-6.0</w:t>
      </w:r>
      <w:r>
        <w:rPr>
          <w:rFonts w:ascii="Garamond" w:cs="Garamond" w:eastAsia="Garamond" w:hAnsi="Garamond"/>
          <w:b w:val="false"/>
          <w:bCs w:val="false"/>
          <w:i/>
          <w:iCs/>
          <w:color w:val="555555"/>
          <w:sz w:val="18"/>
          <w:szCs w:val="18"/>
        </w:rPr>
        <w:t xml:space="preserve">  — Emotional anchor was set before financial reality was visible. The seller is defending a number, not evaluating one.</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B price recommendation accepted: "The numbers make sense — I can see it."</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9.5</w:t>
      </w:r>
      <w:r>
        <w:rPr>
          <w:rFonts w:ascii="Garamond" w:cs="Garamond" w:eastAsia="Garamond" w:hAnsi="Garamond"/>
          <w:b w:val="false"/>
          <w:bCs w:val="false"/>
          <w:i/>
          <w:iCs/>
          <w:color w:val="555555"/>
          <w:sz w:val="18"/>
          <w:szCs w:val="18"/>
        </w:rPr>
        <w:t xml:space="preserve">  — Price accepted because the seller calculated it themselves. They are not accepting the agent's opinion. They are confirming their own arithmetic.</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A: wins listing at aspirational price. Transaction sits 83 days. Two price reductions.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-5</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-5.5</w:t>
      </w:r>
      <w:r>
        <w:rPr>
          <w:rFonts w:ascii="Garamond" w:cs="Garamond" w:eastAsia="Garamond" w:hAnsi="Garamond"/>
          <w:b w:val="false"/>
          <w:bCs w:val="false"/>
          <w:i/>
          <w:iCs/>
          <w:color w:val="555555"/>
          <w:sz w:val="18"/>
          <w:szCs w:val="18"/>
        </w:rPr>
        <w:t xml:space="preserve">  — Seller frustrated. Blames agent. No referral. Net proceeds $14,000 below the realistic price net sheet would have shown.</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B: wins listing at realistic price. Transaction closes in 18 days.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10.0</w:t>
      </w:r>
      <w:r>
        <w:rPr>
          <w:rFonts w:ascii="Garamond" w:cs="Garamond" w:eastAsia="Garamond" w:hAnsi="Garamond"/>
          <w:b w:val="false"/>
          <w:bCs w:val="false"/>
          <w:i/>
          <w:iCs/>
          <w:color w:val="555555"/>
          <w:sz w:val="18"/>
          <w:szCs w:val="18"/>
        </w:rPr>
        <w:t xml:space="preserve">  — Seller delighted. Net proceeds matched the projection. Agent referred to two colleagues within 90 days.</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Two-year compound of the listing appointment approach difference.</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Net sheet first agent: 72% referral rate from listings. Standard approach agent: 23%. The approach difference is the referral difference.</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In your last listing appointment: when did the seller first see their net proceeds number? Was it in the first five minutes or in the last five? What did the sequencing of that information produce in the pricing conversation — and whose interests did the sequencing serve?</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Net Sheet Protocol</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Build the template this week. One page. Three price scenarios. Dynamic fields. Calibrated closing cost estimates from actual recent transactions in your market. Use it at the opening of every listing appointment starting with the next one. Track the following metrics over the next 20 listing appointments: time from appointment start to price agreement, frequency of price reductions post-listing, seller satisfaction at close, referral rate within 90 days of close. The net sheet first approach changes every one of these metrics in a measurable direction. The data will confirm it. The data will make the behavior permanent.</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VII</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Permit Intelligence</w:t>
      </w:r>
    </w:p>
    <w:p>
      <w:pPr>
        <w:spacing w:before="60" w:after="300"/>
        <w:jc w:val="left"/>
      </w:pPr>
      <w:r>
        <w:rPr>
          <w:rFonts w:ascii="Garamond" w:cs="Garamond" w:eastAsia="Garamond" w:hAnsi="Garamond"/>
          <w:b w:val="false"/>
          <w:bCs w:val="false"/>
          <w:i/>
          <w:iCs/>
          <w:color w:val="555555"/>
          <w:sz w:val="26"/>
          <w:szCs w:val="26"/>
        </w:rPr>
        <w:t xml:space="preserve">Every building permit in your market is a public record revealing the homeowner's intention before they know they have one. The agent who reads the permit pull is having conversations six to twelve months before any other agent — with sellers who have not yet become sellers and buyers who have not yet become buyers.</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homeowner who pulls a permit is telling the market something they have not yet told any agent. The agent who reads the permit and calls before the renovation is complete is never competing with any other agent for the conversation.</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A building permit is understood by most people as a regulatory compliance document — the government's permission to perform construction work. What it actually is, in the hands of an agent who understands its intelligence value, is a signal about a homeowner's intention and trajectory that is available to any agent who knows where to look and how to read it. The signal predates the listing by six to eighteen months. In a competitive market, six to eighteen months is a career.</w:t>
      </w:r>
    </w:p>
    <w:p>
      <w:pPr>
        <w:spacing w:before="160" w:after="100"/>
        <w:jc w:val="both"/>
      </w:pPr>
      <w:r>
        <w:rPr>
          <w:rFonts w:ascii="Garamond" w:cs="Garamond" w:eastAsia="Garamond" w:hAnsi="Garamond"/>
          <w:b w:val="false"/>
          <w:bCs w:val="false"/>
          <w:i w:val="false"/>
          <w:iCs w:val="false"/>
          <w:color w:val="1A1A1A"/>
          <w:sz w:val="24"/>
          <w:szCs w:val="24"/>
        </w:rPr>
        <w:t xml:space="preserve">The homeowner who pulls a permit for a significant renovation is one of two things: someone preparing the property for sale, or someone who intends to stay long enough to enjoy the improvement. The ability to distinguish between these two categories — and to make contact at the exact right moment in the renovation process — is one of the most powerful prospecting capabilities available. Not because the contact produces an immediate transaction. Because the contact, made at the right moment with the right offer, produces the only thing more valuable than an immediate transaction: a relationship with a future seller that no other agent has.</w:t>
      </w:r>
    </w:p>
    <w:p>
      <w:pPr>
        <w:spacing w:before="160" w:after="100"/>
        <w:jc w:val="both"/>
      </w:pPr>
      <w:r>
        <w:rPr>
          <w:rFonts w:ascii="Garamond" w:cs="Garamond" w:eastAsia="Garamond" w:hAnsi="Garamond"/>
          <w:b w:val="false"/>
          <w:bCs w:val="false"/>
          <w:i w:val="false"/>
          <w:iCs w:val="false"/>
          <w:color w:val="1A1A1A"/>
          <w:sz w:val="24"/>
          <w:szCs w:val="24"/>
        </w:rPr>
        <w:t xml:space="preserve">The homeowner renovating to sell has a specific timeline pressure they may not yet be experiencing consciously. The renovation takes three to six months. The decision to list follows. The listing appointment is three to nine months in the future from the moment the permit was pulled. The agent who contacts this homeowner during the renovation is not contacting a seller. They are contacting a future seller at the moment when the relationship that will produce the listing can be built — without any competition, without any listing pressure, with the specific offer of something genuinely useful: an honest assessment of how the improvements affect market value.</w:t>
      </w:r>
    </w:p>
    <w:p>
      <w:pPr>
        <w:spacing w:before="160" w:after="100"/>
        <w:jc w:val="both"/>
      </w:pPr>
      <w:r>
        <w:rPr>
          <w:rFonts w:ascii="Garamond" w:cs="Garamond" w:eastAsia="Garamond" w:hAnsi="Garamond"/>
          <w:b w:val="false"/>
          <w:bCs w:val="false"/>
          <w:i w:val="false"/>
          <w:iCs w:val="false"/>
          <w:color w:val="1A1A1A"/>
          <w:sz w:val="24"/>
          <w:szCs w:val="24"/>
        </w:rPr>
        <w:t xml:space="preserve">The overimprovement situation is the most valuable permit intelligence available. The overimprovement is a property whose owner is investing renovation capital that the market will not fully return at sale. The kitchen that cost $80,000 in a neighborhood where the ceiling is $450,000 and the current value is $410,000. The basement finish that cost $60,000 in a market where the comparable basement-finished properties are selling at $20,000 more than their unfinished equivalents. The addition that cost $120,000 in a neighborhood where the addition adds $70,000 in value. The owner who overimproves makes a permanent financial decision whose consequence they will discover at the listing appointment with any other agent — months after the money has been spent and cannot be recovered.</w:t>
      </w:r>
    </w:p>
    <w:p>
      <w:pPr>
        <w:spacing w:before="160" w:after="100"/>
        <w:jc w:val="both"/>
      </w:pPr>
      <w:r>
        <w:rPr>
          <w:rFonts w:ascii="Garamond" w:cs="Garamond" w:eastAsia="Garamond" w:hAnsi="Garamond"/>
          <w:b w:val="false"/>
          <w:bCs w:val="false"/>
          <w:i w:val="false"/>
          <w:iCs w:val="false"/>
          <w:color w:val="1A1A1A"/>
          <w:sz w:val="24"/>
          <w:szCs w:val="24"/>
        </w:rPr>
        <w:t xml:space="preserve">The agent who identifies the overimprovement — through the permit pull — and contacts the owner before the renovation is complete is offering something no other agent offers and no other professional offers: the honest information that prevents the financial mistake. The call that says "I noticed you recently pulled permits for [scope of work] at [address], and before the work is finished, I want to share some market data with you that might be relevant to your decision-making" is a call that saves the homeowner money. The gratitude from this call — from the homeowner who was spared a $50,000 financial error by a professional who had no obligation to make the call — is among the most powerful relationship foundations available.</w:t>
      </w:r>
    </w:p>
    <w:p>
      <w:pPr>
        <w:spacing w:before="160" w:after="100"/>
        <w:jc w:val="both"/>
      </w:pPr>
      <w:r>
        <w:rPr>
          <w:rFonts w:ascii="Garamond" w:cs="Garamond" w:eastAsia="Garamond" w:hAnsi="Garamond"/>
          <w:b w:val="false"/>
          <w:bCs w:val="false"/>
          <w:i w:val="false"/>
          <w:iCs w:val="false"/>
          <w:color w:val="1A1A1A"/>
          <w:sz w:val="24"/>
          <w:szCs w:val="24"/>
        </w:rPr>
        <w:t xml:space="preserve">The second category of permit intelligence: the homeowner who has just committed to a significant improvement on their current property has made a decision to stay for an extended period. This decision places them in a specific demographic: they are buyers who are not yet looking. They have bought one house and are now investing in it — which means they are demonstrating a pattern of property investment that will eventually include another purchase. The agent who builds a relationship with this homeowner during the renovation, who provides market intelligence that is genuinely useful, who becomes the trusted voice of the neighborhood before any transaction is pending — is the agent this homeowner calls when they are eventually ready to move. Not because the agent asked for the call. Because the agent earned it three years earlier with a conversation that had no immediate transactional agenda.</w:t>
      </w:r>
    </w:p>
    <w:p>
      <w:pPr>
        <w:spacing w:before="160" w:after="100"/>
        <w:jc w:val="both"/>
      </w:pPr>
      <w:r>
        <w:rPr>
          <w:rFonts w:ascii="Garamond" w:cs="Garamond" w:eastAsia="Garamond" w:hAnsi="Garamond"/>
          <w:b w:val="false"/>
          <w:bCs w:val="false"/>
          <w:i w:val="false"/>
          <w:iCs w:val="false"/>
          <w:color w:val="1A1A1A"/>
          <w:sz w:val="24"/>
          <w:szCs w:val="24"/>
        </w:rPr>
        <w:t xml:space="preserve">The cumulative effect of the permit pull practice: in most markets, residential building permits are filed at a rate of several hundred per month in active areas. The agent who monitors these permits weekly, filters for significant renovation value, and contacts the relevant homeowners is building a pipeline of pre-listing relationships that is completely invisible to the MLS and completely unavailable to the agents who do not run this practice. This pipeline generates listings without listing presentations. The homeowner who has known the agent for eight months before the listing decision is made does not interview three agents. They call the agent they already know.</w:t>
      </w:r>
    </w:p>
    <w:p>
      <w:pPr>
        <w:spacing w:before="160" w:after="100"/>
        <w:jc w:val="both"/>
      </w:pPr>
      <w:r>
        <w:rPr>
          <w:rFonts w:ascii="Garamond" w:cs="Garamond" w:eastAsia="Garamond" w:hAnsi="Garamond"/>
          <w:b w:val="false"/>
          <w:bCs w:val="false"/>
          <w:i w:val="false"/>
          <w:iCs w:val="false"/>
          <w:color w:val="1A1A1A"/>
          <w:sz w:val="24"/>
          <w:szCs w:val="24"/>
        </w:rPr>
        <w:t xml:space="preserve">The compound of the permit practice: the overimprovement call that saves a homeowner $50,000 produces a relationship of gratitude that no listing presentation can replicate. The gratitude-based listing, when it comes — because the homeowner eventually sells — is uncontested, full-commission, and accompanied by the referral to everyone in the homeowner's network who is planning any kind of real estate transaction. The permit practice is not a prospecting system. It is a trust-building system that generates listings as a byproduct.</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Access building permit records for your target market. These are public records filed with the city or county building department. Most jurisdictions now have online permit portals — search "[City/County] building permit lookup" or "[City/County] permit search." If online access is limited, a weekly thirty-minute visit to the building department public counter produces a complete current list of recent permits.</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Establish a weekly permit pull practice. Filter for residential properties only. Filter for permit types that indicate significant renovation: kitchen remodel, bathroom addition, room addition, basement finish, structural modification, deck or outdoor living structure over $30,000 in estimated value. Exclude routine mechanical, electrical, and HVAC permits — these indicate maintenance and do not signal repositioning.</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For each significant permit, map four data points: (1) Property address and owner name from the permit application. (2) Estimated renovation scope and value from the permit description. (3) Current property value from the assessor's records. (4) Neighborhood sales ceiling from your MLS knowledge. These four points produce the overimprovement assessment: if estimated value post-renovation exceeds the neighborhood ceiling, contact priority is maximum.</w:t>
      </w:r>
    </w:p>
    <w:p>
      <w:pPr>
        <w:spacing w:before="90" w:after="70"/>
        <w:ind w:left="220"/>
      </w:pPr>
      <w:r>
        <w:rPr>
          <w:rFonts w:ascii="Garamond" w:cs="Garamond" w:eastAsia="Garamond" w:hAnsi="Garamond"/>
          <w:b/>
          <w:bCs/>
          <w:i w:val="false"/>
          <w:iCs w:val="false"/>
          <w:color w:val="C4A95A"/>
          <w:sz w:val="22"/>
          <w:szCs w:val="22"/>
        </w:rPr>
        <w:t xml:space="preserve">4.  </w:t>
      </w:r>
      <w:r>
        <w:rPr>
          <w:rFonts w:ascii="Garamond" w:cs="Garamond" w:eastAsia="Garamond" w:hAnsi="Garamond"/>
          <w:b w:val="false"/>
          <w:bCs w:val="false"/>
          <w:i w:val="false"/>
          <w:iCs w:val="false"/>
          <w:color w:val="1A1A1A"/>
          <w:sz w:val="22"/>
          <w:szCs w:val="22"/>
        </w:rPr>
        <w:t xml:space="preserve">The overimprovement contact: a personal call, not a letter. "I noticed you recently pulled permits for [scope of work] at [address]. Before the work is completed, I wanted to share some market data with you that might be useful for your decision-making — I can do this by phone in ten minutes or in person at your convenience. There is no sales agenda — I just want to make sure you have the information before you complete the investment." The call saves money. The response rate is 60-70% among homeowners who are approached with this specific framing, because the specific framing makes the value immediately obvious.</w:t>
      </w:r>
    </w:p>
    <w:p>
      <w:pPr>
        <w:spacing w:before="90" w:after="70"/>
        <w:ind w:left="220"/>
      </w:pPr>
      <w:r>
        <w:rPr>
          <w:rFonts w:ascii="Garamond" w:cs="Garamond" w:eastAsia="Garamond" w:hAnsi="Garamond"/>
          <w:b/>
          <w:bCs/>
          <w:i w:val="false"/>
          <w:iCs w:val="false"/>
          <w:color w:val="C4A95A"/>
          <w:sz w:val="22"/>
          <w:szCs w:val="22"/>
        </w:rPr>
        <w:t xml:space="preserve">5.  </w:t>
      </w:r>
      <w:r>
        <w:rPr>
          <w:rFonts w:ascii="Garamond" w:cs="Garamond" w:eastAsia="Garamond" w:hAnsi="Garamond"/>
          <w:b w:val="false"/>
          <w:bCs w:val="false"/>
          <w:i w:val="false"/>
          <w:iCs w:val="false"/>
          <w:color w:val="1A1A1A"/>
          <w:sz w:val="22"/>
          <w:szCs w:val="22"/>
        </w:rPr>
        <w:t xml:space="preserve">The standard renovation contact: a handwritten note during early renovation — not after, during. "I noticed the work you're doing at [address] — I work extensively in this neighborhood and would love to walk through the finished result when the work is complete and give you an honest assessment of how it affects your market position. No agenda — I like to stay connected to what's happening to properties in areas I know well." Leave a card. The note creates awareness of your interest and expertise without pressure. The subsequent visit — when invited — creates the relationship.</w:t>
      </w:r>
    </w:p>
    <w:p>
      <w:pPr>
        <w:spacing w:before="90" w:after="70"/>
        <w:ind w:left="220"/>
      </w:pPr>
      <w:r>
        <w:rPr>
          <w:rFonts w:ascii="Garamond" w:cs="Garamond" w:eastAsia="Garamond" w:hAnsi="Garamond"/>
          <w:b/>
          <w:bCs/>
          <w:i w:val="false"/>
          <w:iCs w:val="false"/>
          <w:color w:val="C4A95A"/>
          <w:sz w:val="22"/>
          <w:szCs w:val="22"/>
        </w:rPr>
        <w:t xml:space="preserve">6.  </w:t>
      </w:r>
      <w:r>
        <w:rPr>
          <w:rFonts w:ascii="Garamond" w:cs="Garamond" w:eastAsia="Garamond" w:hAnsi="Garamond"/>
          <w:b w:val="false"/>
          <w:bCs w:val="false"/>
          <w:i w:val="false"/>
          <w:iCs w:val="false"/>
          <w:color w:val="1A1A1A"/>
          <w:sz w:val="22"/>
          <w:szCs w:val="22"/>
        </w:rPr>
        <w:t xml:space="preserve">The renovation visit: when the invitation comes, arrive with specific knowledge of the three most recent comparable sales in the immediate area, your analysis of how the specific improvement affects value, and any relevant market trend data. The homeowner who has invested $75,000 in a kitchen renovation wants to know: did that investment make sense? The agent who answers honestly — "the renovation adds approximately $55,000-$65,000 to your market value in this specific market" — even when that answer is slightly disappointing — is providing something no other agent provides: the truth about return on investment after the investment has been made. The homeowner who receives this truth trusts the agent permanently.</w:t>
      </w:r>
    </w:p>
    <w:p>
      <w:pPr>
        <w:spacing w:before="90" w:after="70"/>
        <w:ind w:left="220"/>
      </w:pPr>
      <w:r>
        <w:rPr>
          <w:rFonts w:ascii="Garamond" w:cs="Garamond" w:eastAsia="Garamond" w:hAnsi="Garamond"/>
          <w:b/>
          <w:bCs/>
          <w:i w:val="false"/>
          <w:iCs w:val="false"/>
          <w:color w:val="C4A95A"/>
          <w:sz w:val="22"/>
          <w:szCs w:val="22"/>
        </w:rPr>
        <w:t xml:space="preserve">7.  </w:t>
      </w:r>
      <w:r>
        <w:rPr>
          <w:rFonts w:ascii="Garamond" w:cs="Garamond" w:eastAsia="Garamond" w:hAnsi="Garamond"/>
          <w:b w:val="false"/>
          <w:bCs w:val="false"/>
          <w:i w:val="false"/>
          <w:iCs w:val="false"/>
          <w:color w:val="1A1A1A"/>
          <w:sz w:val="22"/>
          <w:szCs w:val="22"/>
        </w:rPr>
        <w:t xml:space="preserve">The overimprovement counseling session: when the permit pull identifies a significant overimprovement in progress, the in-person conversation is worth the effort. Bring the specific comparables. Show the math. Be honest. "The work you're doing is beautiful and it will make the house significantly more enjoyable. In terms of market return, based on what the neighborhood supports, you'll likely recover $X of the $Y you're investing. I wanted you to know that before the work was finished so you could factor it into any subsequent decisions." The homeowner who receives this information is in the rare position of receiving honest professional advice they did not ask for and cannot be billed for. The response is almost always the same: "No other agent has ever said that to me." That sentence is the beginning of the relationship.</w:t>
      </w:r>
    </w:p>
    <w:p>
      <w:pPr>
        <w:spacing w:before="90" w:after="70"/>
        <w:ind w:left="220"/>
      </w:pPr>
      <w:r>
        <w:rPr>
          <w:rFonts w:ascii="Garamond" w:cs="Garamond" w:eastAsia="Garamond" w:hAnsi="Garamond"/>
          <w:b/>
          <w:bCs/>
          <w:i w:val="false"/>
          <w:iCs w:val="false"/>
          <w:color w:val="C4A95A"/>
          <w:sz w:val="22"/>
          <w:szCs w:val="22"/>
        </w:rPr>
        <w:t xml:space="preserve">8.  </w:t>
      </w:r>
      <w:r>
        <w:rPr>
          <w:rFonts w:ascii="Garamond" w:cs="Garamond" w:eastAsia="Garamond" w:hAnsi="Garamond"/>
          <w:b w:val="false"/>
          <w:bCs w:val="false"/>
          <w:i w:val="false"/>
          <w:iCs w:val="false"/>
          <w:color w:val="1A1A1A"/>
          <w:sz w:val="22"/>
          <w:szCs w:val="22"/>
        </w:rPr>
        <w:t xml:space="preserve">Maintain the permit tracking system: address, permit type, estimated value, date of first contact, response status, renovation completion date, follow-up date. Review weekly. The permit practice takes thirty minutes per week of monitoring and thirty minutes per week of follow-up at steady state. In most active markets, the practice generates three to six pre-listing relationships per month. At a 20% conversion rate to active listing within eighteen months, three to six monthly contacts produces one to two additional listings per month from the practice alone.</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Agent running weekly permit monitoring versus agent with no permit practice. Same market. Two years.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Standard agent learns about listing when sign goes up.</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6</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-0.5</w:t>
      </w:r>
      <w:r>
        <w:rPr>
          <w:rFonts w:ascii="Garamond" w:cs="Garamond" w:eastAsia="Garamond" w:hAnsi="Garamond"/>
          <w:b w:val="false"/>
          <w:bCs w:val="false"/>
          <w:i/>
          <w:iCs/>
          <w:color w:val="555555"/>
          <w:sz w:val="18"/>
          <w:szCs w:val="18"/>
        </w:rPr>
        <w:t xml:space="preserve">  — Competing with every agent who sees the same sign. No relationship advantage. No information advantage.</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Permit agent contacts homeowner during renovation — 9 months before potential listing.</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-4</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10.5</w:t>
      </w:r>
      <w:r>
        <w:rPr>
          <w:rFonts w:ascii="Garamond" w:cs="Garamond" w:eastAsia="Garamond" w:hAnsi="Garamond"/>
          <w:b w:val="false"/>
          <w:bCs w:val="false"/>
          <w:i/>
          <w:iCs/>
          <w:color w:val="555555"/>
          <w:sz w:val="18"/>
          <w:szCs w:val="18"/>
        </w:rPr>
        <w:t xml:space="preserve">  — No competition. First relationship. Full access to the listing decision before it becomes a decision.</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Overimprovement intervention: Homeowner saved $67,000 in over-invested renovation.</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10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10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11.5</w:t>
      </w:r>
      <w:r>
        <w:rPr>
          <w:rFonts w:ascii="Garamond" w:cs="Garamond" w:eastAsia="Garamond" w:hAnsi="Garamond"/>
          <w:b w:val="false"/>
          <w:bCs w:val="false"/>
          <w:i/>
          <w:iCs/>
          <w:color w:val="555555"/>
          <w:sz w:val="18"/>
          <w:szCs w:val="18"/>
        </w:rPr>
        <w:t xml:space="preserve">  — This agent gets every listing this homeowner ever has. And their referral to every person they know.</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Renovation visit relationship: 8 months of pre-listing relationship built before any listing pressure.</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10.0</w:t>
      </w:r>
      <w:r>
        <w:rPr>
          <w:rFonts w:ascii="Garamond" w:cs="Garamond" w:eastAsia="Garamond" w:hAnsi="Garamond"/>
          <w:b w:val="false"/>
          <w:bCs w:val="false"/>
          <w:i/>
          <w:iCs/>
          <w:color w:val="555555"/>
          <w:sz w:val="18"/>
          <w:szCs w:val="18"/>
        </w:rPr>
        <w:t xml:space="preserve">  — Listing appointment is a formality. No competing agents are invited.</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1 permit practice: 32 significant permit contacts, 7 pre-listing relationships, 4 listings.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4 additional listings from a practice that costs 1 hour per week. No other prospecting method approaches this ROI.</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2 compound: pre-listing relationships from Year 1 are converting.</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Year 1 contacts who did not list immediately are now listing. The pipeline is 12 months deep.</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2 referral compound: overimprovement counseling clients referring neighbors.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Referral narrative: "The agent called us during the renovation and saved us from a massive mistake."</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How many significant renovations are currently underway in your target market right now? Which of those homeowners is planning to sell within 18 months? You do not know — but the permit records do. What is the specific value of not knowing?</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Permit Pull Practice</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This week: access your jurisdiction's permit database. Pull all residential renovation permits from the last 90 days. Filter for significant scope. Map the overimprovement assessments. Write handwritten notes to the top 10 by renovation value. Flag any confirmed overimprovements for a personal call this week — not next month, this week. Make this a weekly 60-minute practice. At steady state: 30 minutes of permit monitoring, 30 minutes of follow-up. It is the highest-return hour available in residential real estate prospecting.</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VIII</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Divorce Attorney</w:t>
      </w:r>
    </w:p>
    <w:p>
      <w:pPr>
        <w:spacing w:before="60" w:after="300"/>
        <w:jc w:val="left"/>
      </w:pPr>
      <w:r>
        <w:rPr>
          <w:rFonts w:ascii="Garamond" w:cs="Garamond" w:eastAsia="Garamond" w:hAnsi="Garamond"/>
          <w:b w:val="false"/>
          <w:bCs w:val="false"/>
          <w:i/>
          <w:iCs/>
          <w:color w:val="555555"/>
          <w:sz w:val="26"/>
          <w:szCs w:val="26"/>
        </w:rPr>
        <w:t xml:space="preserve">The highest-volume, highest-urgency, lowest-competition referral source in any market is sitting in an office two miles from your brokerage waiting for one agent who understands their world well enough to be trusted with their clients. One agent. In most markets, that position is completely vacant.</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divorce attorney needs exactly one real estate agent they trust completely. One. They have been looking for that agent for years. In most markets, no agent has ever shown up with the specific knowledge required to earn the position. The position is yours to claim.</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Divorce proceedings require the disposition of real property in the majority of cases involving homeowners. Approximately 50% of marriages in the United States end in divorce. Approximately 65% of married couples are homeowners. Of those divorces that involve homeowners, the real property must be addressed — either through sale or through a buyout where one party assumes the property and compensates the other for their equity share. In a mid-size market, this produces hundreds of property transactions per year from divorce proceedings alone.</w:t>
      </w:r>
    </w:p>
    <w:p>
      <w:pPr>
        <w:spacing w:before="160" w:after="100"/>
        <w:jc w:val="both"/>
      </w:pPr>
      <w:r>
        <w:rPr>
          <w:rFonts w:ascii="Garamond" w:cs="Garamond" w:eastAsia="Garamond" w:hAnsi="Garamond"/>
          <w:b w:val="false"/>
          <w:bCs w:val="false"/>
          <w:i w:val="false"/>
          <w:iCs w:val="false"/>
          <w:color w:val="1A1A1A"/>
          <w:sz w:val="24"/>
          <w:szCs w:val="24"/>
        </w:rPr>
        <w:t xml:space="preserve">The divorce attorney navigates this process in every case that involves a homeowner. They are not real estate professionals. They do not want to be. But they need a real estate professional who can operate in the specific conditions that divorce transactions create: parties who may be adversarial, whose communication is sometimes legally restricted, who may be living in the property under court order, and who each have legal representation actively protecting their interests in every transaction element.</w:t>
      </w:r>
    </w:p>
    <w:p>
      <w:pPr>
        <w:spacing w:before="160" w:after="100"/>
        <w:jc w:val="both"/>
      </w:pPr>
      <w:r>
        <w:rPr>
          <w:rFonts w:ascii="Garamond" w:cs="Garamond" w:eastAsia="Garamond" w:hAnsi="Garamond"/>
          <w:b w:val="false"/>
          <w:bCs w:val="false"/>
          <w:i w:val="false"/>
          <w:iCs w:val="false"/>
          <w:color w:val="1A1A1A"/>
          <w:sz w:val="24"/>
          <w:szCs w:val="24"/>
        </w:rPr>
        <w:t xml:space="preserve">The standard real estate agent is not equipped for this environment. The standard agent wants two cooperative clients with a shared goal and a smooth path to closing. The divorce transaction provides parties with competing goals, legally managed communication, and a property that may be occupied by a party who does not want to sell. What the divorce transaction provides in exchange is a commission that is not subject to the competitive compression of standard listing markets, because neither party has the emotional bandwidth to fight the commission when they are fighting about everything else. And a referral source that is lawyer-grade: the referring attorney has legal liability in every recommendation they make, and an attorney who refers an agent is implicitly vouching for that agent. The trust embedded in the attorney referral is the highest-quality trust signal available.</w:t>
      </w:r>
    </w:p>
    <w:p>
      <w:pPr>
        <w:spacing w:before="160" w:after="100"/>
        <w:jc w:val="both"/>
      </w:pPr>
      <w:r>
        <w:rPr>
          <w:rFonts w:ascii="Garamond" w:cs="Garamond" w:eastAsia="Garamond" w:hAnsi="Garamond"/>
          <w:b w:val="false"/>
          <w:bCs w:val="false"/>
          <w:i w:val="false"/>
          <w:iCs w:val="false"/>
          <w:color w:val="1A1A1A"/>
          <w:sz w:val="24"/>
          <w:szCs w:val="24"/>
        </w:rPr>
        <w:t xml:space="preserve">The specific skills that differentiate the divorce-competent agent from the standard agent: knowledge of the difference between community property and equitable distribution states and how each affects the transaction strategy, understanding of occupancy orders and how they govern showing access, ability to manage separate communications with parties who are legally restricted from direct communication with each other, knowledge of the neutral pricing process that satisfies both parties' legal representatives, understanding of how net proceeds are typically held in escrow pending final decree, and the specific communication standard that protects the attorney's relationship with both clients — providing market information without taking positions in the underlying legal dispute.</w:t>
      </w:r>
    </w:p>
    <w:p>
      <w:pPr>
        <w:spacing w:before="160" w:after="100"/>
        <w:jc w:val="both"/>
      </w:pPr>
      <w:r>
        <w:rPr>
          <w:rFonts w:ascii="Garamond" w:cs="Garamond" w:eastAsia="Garamond" w:hAnsi="Garamond"/>
          <w:b w:val="false"/>
          <w:bCs w:val="false"/>
          <w:i w:val="false"/>
          <w:iCs w:val="false"/>
          <w:color w:val="1A1A1A"/>
          <w:sz w:val="24"/>
          <w:szCs w:val="24"/>
        </w:rPr>
        <w:t xml:space="preserve">The emotional intelligence required for divorce transactions is specific and learnable. The agent must be scrupulously neutral — providing the same information, at the same time, in the same format, to both parties and both attorneys. The agent must be unfazed by behavior that would be inappropriate in any other transaction context: parties who argue at showings, who refuse to schedule showing access, who make counter-productive demands about the pricing and presentation. The agent who maintains professional neutrality and legal-quality documentation in these conditions is providing a service that attorneys will refer repeatedly, because the attorney's liability decreases every time the agent performs correctly.</w:t>
      </w:r>
    </w:p>
    <w:p>
      <w:pPr>
        <w:spacing w:before="160" w:after="100"/>
        <w:jc w:val="both"/>
      </w:pPr>
      <w:r>
        <w:rPr>
          <w:rFonts w:ascii="Garamond" w:cs="Garamond" w:eastAsia="Garamond" w:hAnsi="Garamond"/>
          <w:b w:val="false"/>
          <w:bCs w:val="false"/>
          <w:i w:val="false"/>
          <w:iCs w:val="false"/>
          <w:color w:val="1A1A1A"/>
          <w:sz w:val="24"/>
          <w:szCs w:val="24"/>
        </w:rPr>
        <w:t xml:space="preserve">The referral architecture of the divorce attorney relationship is fundamentally different from any consumer referral. The attorney refers before the client has selected an agent. The attorney's referral is not a suggestion — it is a professional recommendation from the legal authority in the client's life. The client who has been referred by their attorney does not interview other agents. They call the agent their attorney recommended. The conversion rate from attorney referral to engaged client is approximately 85%, compared to 30-40% from standard consumer referral. And the attorney who makes one successful referral — who observes the agent handle the complex transaction with professional competence and legal-quality documentation — makes every subsequent referral automatically.</w:t>
      </w:r>
    </w:p>
    <w:p>
      <w:pPr>
        <w:spacing w:before="160" w:after="100"/>
        <w:jc w:val="both"/>
      </w:pPr>
      <w:r>
        <w:rPr>
          <w:rFonts w:ascii="Garamond" w:cs="Garamond" w:eastAsia="Garamond" w:hAnsi="Garamond"/>
          <w:b w:val="false"/>
          <w:bCs w:val="false"/>
          <w:i w:val="false"/>
          <w:iCs w:val="false"/>
          <w:color w:val="1A1A1A"/>
          <w:sz w:val="24"/>
          <w:szCs w:val="24"/>
        </w:rPr>
        <w:t xml:space="preserve">The supply-demand reality of the divorce attorney referral in most markets: there are typically fifty to one hundred family law attorneys in a mid-size market. Most of them refer real estate clients to whoever they have encountered most recently, or to agents their clients have found independently, or to no one at all. Almost none of them have a relationship with a real estate agent who has specifically demonstrated knowledge of the divorce sale process. The agent who establishes this knowledge and communicates it to five family law attorneys has achieved a market position in the divorce channel that almost no agent occupies. The position is permanently defensible because the knowledge barrier, while entirely achievable, is one that most agents never pursue.</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Identify every family law and divorce attorney practicing in your market. Search the state bar directory for attorneys with family law, divorce, or domestic relations as a primary practice area within your county. This is a free public search. In a mid-size market it produces 30-80 attorneys. In a large market, 150+. This is the entire universe of your most valuable prospecting target.</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Do not send a prospecting letter. Do not cold call. The first contact is a handwritten note on plain professional stationery demonstrating specific knowledge of the challenge attorneys face: "I specialize in working with clients navigating divorce who need to sell or transfer their home. I understand the specific legal constraints these transactions involve — occupancy orders, neutral pricing requirements, dual-party communications, and court timeline coordination. I would welcome a brief meeting to explain how I handle these situations specifically and how I protect your client relationship through the process." This note demonstrates knowledge before requesting time. It gets opened and acted upon. The standard real estate solicitation letter does not.</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Learn the complete legal framework before the first attorney meeting. Specifically: the difference between community property states (Arizona, California, Idaho, Louisiana, Nevada, New Mexico, Texas, Washington, Wisconsin) and equitable distribution states (the rest) and how each affects the sale process; the mechanics of occupancy orders and how they govern showing schedule and access; the typical structure of a consent order that governs a real property sale during divorce proceedings; how net proceeds are held and distributed under various court configurations; and the specific disclosure requirements for sales of marital property in your state. This knowledge takes eight hours to acquire. It takes most agents never.</w:t>
      </w:r>
    </w:p>
    <w:p>
      <w:pPr>
        <w:spacing w:before="90" w:after="70"/>
        <w:ind w:left="220"/>
      </w:pPr>
      <w:r>
        <w:rPr>
          <w:rFonts w:ascii="Garamond" w:cs="Garamond" w:eastAsia="Garamond" w:hAnsi="Garamond"/>
          <w:b/>
          <w:bCs/>
          <w:i w:val="false"/>
          <w:iCs w:val="false"/>
          <w:color w:val="C4A95A"/>
          <w:sz w:val="22"/>
          <w:szCs w:val="22"/>
        </w:rPr>
        <w:t xml:space="preserve">4.  </w:t>
      </w:r>
      <w:r>
        <w:rPr>
          <w:rFonts w:ascii="Garamond" w:cs="Garamond" w:eastAsia="Garamond" w:hAnsi="Garamond"/>
          <w:b w:val="false"/>
          <w:bCs w:val="false"/>
          <w:i w:val="false"/>
          <w:iCs w:val="false"/>
          <w:color w:val="1A1A1A"/>
          <w:sz w:val="22"/>
          <w:szCs w:val="22"/>
        </w:rPr>
        <w:t xml:space="preserve">The first attorney meeting structure: listen for the first fifteen minutes. Ask one question: "What is the hardest part of handling the real estate component in your divorce cases?" The answer to this question tells you exactly what problem you need to solve. Every attorney has a specific pain point: the difficulty of getting both parties to agree on an agent, the agent who took sides, the agent who violated the communication protocol, the agent who overpriced the property to please one party and created a legal problem. Identify the specific pain point. Build your service around solving it.</w:t>
      </w:r>
    </w:p>
    <w:p>
      <w:pPr>
        <w:spacing w:before="90" w:after="70"/>
        <w:ind w:left="220"/>
      </w:pPr>
      <w:r>
        <w:rPr>
          <w:rFonts w:ascii="Garamond" w:cs="Garamond" w:eastAsia="Garamond" w:hAnsi="Garamond"/>
          <w:b/>
          <w:bCs/>
          <w:i w:val="false"/>
          <w:iCs w:val="false"/>
          <w:color w:val="C4A95A"/>
          <w:sz w:val="22"/>
          <w:szCs w:val="22"/>
        </w:rPr>
        <w:t xml:space="preserve">5.  </w:t>
      </w:r>
      <w:r>
        <w:rPr>
          <w:rFonts w:ascii="Garamond" w:cs="Garamond" w:eastAsia="Garamond" w:hAnsi="Garamond"/>
          <w:b w:val="false"/>
          <w:bCs w:val="false"/>
          <w:i w:val="false"/>
          <w:iCs w:val="false"/>
          <w:color w:val="1A1A1A"/>
          <w:sz w:val="22"/>
          <w:szCs w:val="22"/>
        </w:rPr>
        <w:t xml:space="preserve">The formal commitment letter: offer every attorney a written commitment that covers the specific professional standards you will maintain in their referrals. The letter should address: communication protocol (all information to both parties simultaneously, through their respective attorneys), pricing methodology (neutral CMA process, third-party appraisal coordination if requested), documentation standard (all interactions documented in writing, copies available to both counsel), and escalation protocol (how you notify the attorneys when parties are unable to cooperate on showing access or other transaction requirements). The attorney who receives this written commitment has received something no agent in the market has offered them. The commitment letter converts a promising meeting into a formalized professional relationship.</w:t>
      </w:r>
    </w:p>
    <w:p>
      <w:pPr>
        <w:spacing w:before="90" w:after="70"/>
        <w:ind w:left="220"/>
      </w:pPr>
      <w:r>
        <w:rPr>
          <w:rFonts w:ascii="Garamond" w:cs="Garamond" w:eastAsia="Garamond" w:hAnsi="Garamond"/>
          <w:b/>
          <w:bCs/>
          <w:i w:val="false"/>
          <w:iCs w:val="false"/>
          <w:color w:val="C4A95A"/>
          <w:sz w:val="22"/>
          <w:szCs w:val="22"/>
        </w:rPr>
        <w:t xml:space="preserve">6.  </w:t>
      </w:r>
      <w:r>
        <w:rPr>
          <w:rFonts w:ascii="Garamond" w:cs="Garamond" w:eastAsia="Garamond" w:hAnsi="Garamond"/>
          <w:b w:val="false"/>
          <w:bCs w:val="false"/>
          <w:i w:val="false"/>
          <w:iCs w:val="false"/>
          <w:color w:val="1A1A1A"/>
          <w:sz w:val="22"/>
          <w:szCs w:val="22"/>
        </w:rPr>
        <w:t xml:space="preserve">The first referral transaction is the audition. Handle it with legal-quality documentation and scrupulous neutrality. Send weekly transaction summaries to both attorneys. Copy both attorneys on every significant communication. When party behavior threatens the transaction, notify both attorneys immediately and in writing. When the transaction closes, send both attorneys a written transaction summary documenting the outcome and the process. The attorneys who observe this performance refer every subsequent case automatically. The attorneys who observe this performance tell other attorneys. The reputation that builds from one well-handled divorce transaction generates referrals that span careers.</w:t>
      </w:r>
    </w:p>
    <w:p>
      <w:pPr>
        <w:spacing w:before="90" w:after="70"/>
        <w:ind w:left="220"/>
      </w:pPr>
      <w:r>
        <w:rPr>
          <w:rFonts w:ascii="Garamond" w:cs="Garamond" w:eastAsia="Garamond" w:hAnsi="Garamond"/>
          <w:b/>
          <w:bCs/>
          <w:i w:val="false"/>
          <w:iCs w:val="false"/>
          <w:color w:val="C4A95A"/>
          <w:sz w:val="22"/>
          <w:szCs w:val="22"/>
        </w:rPr>
        <w:t xml:space="preserve">7.  </w:t>
      </w:r>
      <w:r>
        <w:rPr>
          <w:rFonts w:ascii="Garamond" w:cs="Garamond" w:eastAsia="Garamond" w:hAnsi="Garamond"/>
          <w:b w:val="false"/>
          <w:bCs w:val="false"/>
          <w:i w:val="false"/>
          <w:iCs w:val="false"/>
          <w:color w:val="1A1A1A"/>
          <w:sz w:val="22"/>
          <w:szCs w:val="22"/>
        </w:rPr>
        <w:t xml:space="preserve">Maintain the attorney relationship with quarterly value. Send each attorney a brief quarterly market update specific to the issues they encounter: average days on market in the price ranges their divorce clients own, specific pricing trends that affect buyout valuations, any regulatory changes that affect disclosure requirements in divorce transactions. Attorneys who receive genuine professional value from an agent relationship maintain that relationship indefinitely. Attorneys who receive only follow-up calls asking "do you have any referrals for me" terminate the relationship within two quarters.</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Agent who builds two divorce attorney relationships versus standard agent. Same market. Three years.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1: Building attorney relationships. Three referral transactions. Learning the language.</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7</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9.0</w:t>
      </w:r>
      <w:r>
        <w:rPr>
          <w:rFonts w:ascii="Garamond" w:cs="Garamond" w:eastAsia="Garamond" w:hAnsi="Garamond"/>
          <w:b w:val="false"/>
          <w:bCs w:val="false"/>
          <w:i/>
          <w:iCs/>
          <w:color w:val="555555"/>
          <w:sz w:val="18"/>
          <w:szCs w:val="18"/>
        </w:rPr>
        <w:t xml:space="preserve">  — Investment period. Each transaction a demonstration of the specific competence attorneys need. Trust building.</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1 transaction quality: zero complaints from either party or either counsel.</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9.5</w:t>
      </w:r>
      <w:r>
        <w:rPr>
          <w:rFonts w:ascii="Garamond" w:cs="Garamond" w:eastAsia="Garamond" w:hAnsi="Garamond"/>
          <w:b w:val="false"/>
          <w:bCs w:val="false"/>
          <w:i/>
          <w:iCs/>
          <w:color w:val="555555"/>
          <w:sz w:val="18"/>
          <w:szCs w:val="18"/>
        </w:rPr>
        <w:t xml:space="preserve">  — Documentation-quality performance. Both attorneys observe. Both renew the referral relationship without being asked.</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2: Two attorneys active. 7-9 referrals from the two relationships.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10.0</w:t>
      </w:r>
      <w:r>
        <w:rPr>
          <w:rFonts w:ascii="Garamond" w:cs="Garamond" w:eastAsia="Garamond" w:hAnsi="Garamond"/>
          <w:b w:val="false"/>
          <w:bCs w:val="false"/>
          <w:i/>
          <w:iCs/>
          <w:color w:val="555555"/>
          <w:sz w:val="18"/>
          <w:szCs w:val="18"/>
        </w:rPr>
        <w:t xml:space="preserve">  — Referrals arriving pre-converted. Conversion rate from attorney referral: 85%. No marketing spend required.</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2: First attorney refers second attorney. Referral base expanding without prospecting.</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10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10.5</w:t>
      </w:r>
      <w:r>
        <w:rPr>
          <w:rFonts w:ascii="Garamond" w:cs="Garamond" w:eastAsia="Garamond" w:hAnsi="Garamond"/>
          <w:b w:val="false"/>
          <w:bCs w:val="false"/>
          <w:i/>
          <w:iCs/>
          <w:color w:val="555555"/>
          <w:sz w:val="18"/>
          <w:szCs w:val="18"/>
        </w:rPr>
        <w:t xml:space="preserve">  — Attorney-to-attorney referral is the highest-quality referral available in professional services.</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3: Five attorney relationships active. 18-22 referrals per year from attorneys alone.</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10.0</w:t>
      </w:r>
      <w:r>
        <w:rPr>
          <w:rFonts w:ascii="Garamond" w:cs="Garamond" w:eastAsia="Garamond" w:hAnsi="Garamond"/>
          <w:b w:val="false"/>
          <w:bCs w:val="false"/>
          <w:i/>
          <w:iCs/>
          <w:color w:val="555555"/>
          <w:sz w:val="18"/>
          <w:szCs w:val="18"/>
        </w:rPr>
        <w:t xml:space="preserve">  — 18-22 additional sides per year. At average commission: $180,000-$220,000 additional annual GCI.</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Commission compression in divorce transactions versus standard market.</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Divorce transaction commission: full rate in 91% of cases. Standard listing commission: full rate in 67% of cases.</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3 compound: market reputation as the divorce real estate specialist.</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Consumer awareness grows without any consumer marketing. Attorneys are the only marketing required.</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How many family law attorneys practice in your market? How many of them have had a conversation with you in which you demonstrated specific knowledge of the divorce sale process? How many referrals did those attorneys give last year that went to a different agent — and what was the revenue value of those referrals?</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Attorney Relationship Build</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Month 1: Research every family law attorney in your market. Select the five whose practice volume most aligns with your target price range. Write five handwritten notes this week. Month 2: Accept every meeting that results. Arrive at each meeting having learned the specific legal mechanics of divorce real estate in your state. Ask the "hardest part" question. Month 3: Prepare and deliver the formal commitment letter to every attorney who showed genuine interest. Month 4: Handle any referral with legal-quality documentation and scrupulous neutrality. Report back to the referring attorney with a written transaction summary. This investment generates compounding returns for the duration of the career.</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IX</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1031 Exchange Client</w:t>
      </w:r>
    </w:p>
    <w:p>
      <w:pPr>
        <w:spacing w:before="60" w:after="300"/>
        <w:jc w:val="left"/>
      </w:pPr>
      <w:r>
        <w:rPr>
          <w:rFonts w:ascii="Garamond" w:cs="Garamond" w:eastAsia="Garamond" w:hAnsi="Garamond"/>
          <w:b w:val="false"/>
          <w:bCs w:val="false"/>
          <w:i/>
          <w:iCs/>
          <w:color w:val="555555"/>
          <w:sz w:val="26"/>
          <w:szCs w:val="26"/>
        </w:rPr>
        <w:t xml:space="preserve">The most motivated, least price-sensitive, most time-pressured buyer in any real estate market is operating under a statutory deadline that makes their situation unlike any other buyer available. Almost no agent has a specific system to identify them, reach them, or serve them at the level their situation requires.</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1031 exchange buyer is not shopping. They are searching. Under a legal deadline with a tax consequence measured in hundreds of thousands of dollars. The agent who understands this situation provides something that no amount of buyer service can replicate: the navigation of a process the buyer is genuinely afraid of failing.</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Section 1031 of the Internal Revenue Code allows an investor who sells a real property to defer the capital gains tax on that sale by purchasing a replacement property of equal or greater value within a specific statutory timeframe. The mechanics are well-known in the investment community and almost entirely unknown to the residential agent community: 45 days from the close of the relinquished property to identify potential replacement properties, 180 days from that close to close on the replacement. These timelines are statutory. They do not extend for any reason.</w:t>
      </w:r>
    </w:p>
    <w:p>
      <w:pPr>
        <w:spacing w:before="160" w:after="100"/>
        <w:jc w:val="both"/>
      </w:pPr>
      <w:r>
        <w:rPr>
          <w:rFonts w:ascii="Garamond" w:cs="Garamond" w:eastAsia="Garamond" w:hAnsi="Garamond"/>
          <w:b w:val="false"/>
          <w:bCs w:val="false"/>
          <w:i w:val="false"/>
          <w:iCs w:val="false"/>
          <w:color w:val="1A1A1A"/>
          <w:sz w:val="24"/>
          <w:szCs w:val="24"/>
        </w:rPr>
        <w:t xml:space="preserve">The investor who misses the 45-day identification window does not receive an extension. They lose the tax deferral entirely — which, on a capital gain of $400,000 taxed at a combined federal and state rate of 30-40%, represents an immediate tax liability of $120,000-$160,000 that could have been deferred indefinitely through a successful exchange. The investor who identifies properties within the 45-day window but fails to close within 180 days faces the same consequence. The stakes of the deadline are not abstract. They are six-figure and irreversible.</w:t>
      </w:r>
    </w:p>
    <w:p>
      <w:pPr>
        <w:spacing w:before="160" w:after="100"/>
        <w:jc w:val="both"/>
      </w:pPr>
      <w:r>
        <w:rPr>
          <w:rFonts w:ascii="Garamond" w:cs="Garamond" w:eastAsia="Garamond" w:hAnsi="Garamond"/>
          <w:b w:val="false"/>
          <w:bCs w:val="false"/>
          <w:i w:val="false"/>
          <w:iCs w:val="false"/>
          <w:color w:val="1A1A1A"/>
          <w:sz w:val="24"/>
          <w:szCs w:val="24"/>
        </w:rPr>
        <w:t xml:space="preserve">The behavioral profile of the 1031 exchange buyer is completely different from the standard residential buyer, and every element of the difference works in the agent's favor. The standard buyer is leisurely — they have no deadline, they are spending their own money, and every week of additional search is another week they retain maximum optionality. The exchange buyer is purposeful — they have a legal deadline, they are managing someone else's tax liability in a sense, and every day of delay increases the risk of failing the exchange. The standard buyer is price-sensitive — they are managing a budget against specific financial goals. The exchange buyer is replacement-value-sensitive — the replacement property must meet a minimum value threshold, and paying $50,000 more than the ideal price is preferable to paying a $150,000 tax bill for failing to find a replacement.</w:t>
      </w:r>
    </w:p>
    <w:p>
      <w:pPr>
        <w:spacing w:before="160" w:after="100"/>
        <w:jc w:val="both"/>
      </w:pPr>
      <w:r>
        <w:rPr>
          <w:rFonts w:ascii="Garamond" w:cs="Garamond" w:eastAsia="Garamond" w:hAnsi="Garamond"/>
          <w:b w:val="false"/>
          <w:bCs w:val="false"/>
          <w:i w:val="false"/>
          <w:iCs w:val="false"/>
          <w:color w:val="1A1A1A"/>
          <w:sz w:val="24"/>
          <w:szCs w:val="24"/>
        </w:rPr>
        <w:t xml:space="preserve">The source of the 1031 buyer is different from the source of the standard buyer, which is why most agents never encounter them. They are not on Zillow or Realtor.com in the days before the deadline. By that time, the public market is too slow to serve their timeline. They are with their accountants, their tax attorneys, and their qualified intermediaries in the weeks after their relinquished property closes — before the 45-day identification clock has reached its pressure point. The agent who has relationships with these professionals receives exchange buyer referrals before the buyer has begun the search, before the anxiety has peaked, and before the timeline has compressed to the point where good decisions become difficult.</w:t>
      </w:r>
    </w:p>
    <w:p>
      <w:pPr>
        <w:spacing w:before="160" w:after="100"/>
        <w:jc w:val="both"/>
      </w:pPr>
      <w:r>
        <w:rPr>
          <w:rFonts w:ascii="Garamond" w:cs="Garamond" w:eastAsia="Garamond" w:hAnsi="Garamond"/>
          <w:b w:val="false"/>
          <w:bCs w:val="false"/>
          <w:i w:val="false"/>
          <w:iCs w:val="false"/>
          <w:color w:val="1A1A1A"/>
          <w:sz w:val="24"/>
          <w:szCs w:val="24"/>
        </w:rPr>
        <w:t xml:space="preserve">The 1031 qualified intermediary relationship is the single most valuable relationship in the exchange buyer ecosystem. The qualified intermediary (QI) is the professional who holds the exchange funds during the transaction — the specific role that makes the exchange legally compliant. Every 1031 exchange in your market goes through a QI. Every QI who sends an investor to an agent with specific exchange expertise is solving a genuine professional problem: the investor who fails the exchange due to an agent's lack of knowledge creates a legal and professional liability that the QI would prefer to avoid. The QI who has one agent they trust with exchange clients makes every referral to that agent automatically.</w:t>
      </w:r>
    </w:p>
    <w:p>
      <w:pPr>
        <w:spacing w:before="160" w:after="100"/>
        <w:jc w:val="both"/>
      </w:pPr>
      <w:r>
        <w:rPr>
          <w:rFonts w:ascii="Garamond" w:cs="Garamond" w:eastAsia="Garamond" w:hAnsi="Garamond"/>
          <w:b w:val="false"/>
          <w:bCs w:val="false"/>
          <w:i w:val="false"/>
          <w:iCs w:val="false"/>
          <w:color w:val="1A1A1A"/>
          <w:sz w:val="24"/>
          <w:szCs w:val="24"/>
        </w:rPr>
        <w:t xml:space="preserve">The complete 1031 exchange mechanics that differentiate the competent exchange agent from the standard agent: the three-property rule (the exchanger can identify up to three potential replacement properties regardless of their aggregate value), the 200% rule (the exchanger can identify more than three properties if the aggregate value does not exceed 200% of the relinquished property value), the 95% rule (the exchanger can identify any number of properties if they acquire at least 95% of their identified value), the boot concept (any cash or unlike-kind property received in the exchange is taxable), the reverse exchange mechanics (acquiring the replacement property before selling the relinquished one), and the improvement exchange (using exchange funds to improve a property rather than solely to acquire). The investor who sits across from an agent who knows these rules without being taught them trusts immediately. The meeting changes quality within thirty seconds.</w:t>
      </w:r>
    </w:p>
    <w:p>
      <w:pPr>
        <w:spacing w:before="160" w:after="100"/>
        <w:jc w:val="both"/>
      </w:pPr>
      <w:r>
        <w:rPr>
          <w:rFonts w:ascii="Garamond" w:cs="Garamond" w:eastAsia="Garamond" w:hAnsi="Garamond"/>
          <w:b w:val="false"/>
          <w:bCs w:val="false"/>
          <w:i w:val="false"/>
          <w:iCs w:val="false"/>
          <w:color w:val="1A1A1A"/>
          <w:sz w:val="24"/>
          <w:szCs w:val="24"/>
        </w:rPr>
        <w:t xml:space="preserve">The off-market dimension of the 1031 practice: the exchange buyer who is under time pressure cannot always wait for the public market to produce the right property. The agent who has invested in the pre-listing relationship practices described in this doctrine — who has relationships with tired landlords, with dissolving LLCs, with estates, with overimproving homeowners — has inventory for the 1031 buyer that the public market cannot provide within the required timeline. The agent whose practice generates off-market inventory is indispensable to the 1031 buyer in a way the MLS-dependent agent never is. The exchange is either completed with the off-market inventory or it is failed. The agent with the inventory gets the commission and the permanent relationship. The agent without it loses both.</w:t>
      </w:r>
    </w:p>
    <w:p>
      <w:pPr>
        <w:spacing w:before="160" w:after="100"/>
        <w:jc w:val="both"/>
      </w:pPr>
      <w:r>
        <w:rPr>
          <w:rFonts w:ascii="Garamond" w:cs="Garamond" w:eastAsia="Garamond" w:hAnsi="Garamond"/>
          <w:b w:val="false"/>
          <w:bCs w:val="false"/>
          <w:i w:val="false"/>
          <w:iCs w:val="false"/>
          <w:color w:val="1A1A1A"/>
          <w:sz w:val="24"/>
          <w:szCs w:val="24"/>
        </w:rPr>
        <w:t xml:space="preserve">The compound of the 1031 practice: the investor who successfully completes an exchange becomes an active buyer in the next exchange cycle. Real estate investors who exchange routinely do so every three to five years. The relationship that was built in the first exchange persists through every subsequent exchange. The investor who used the agent in the first exchange refers the agent to every other investor in their network — because the 1031 referral carries the most specific and most urgent endorsement available: "This agent knows the exchange. When you have forty-five days, you need someone who knows the exchange."</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Build relationships with qualified intermediaries in your market. Search "1031 exchange qualified intermediary [your city]" to identify the active QIs. There are typically three to eight in any mid-size market. Write introduction letters to every QI demonstrating specific exchange mechanics knowledge. Request meetings. In the meeting, walk the QI through your specific approach to exchange transactions — the timeline management, the off-market inventory access, the specific buyer communication during the identification period. The QI who trusts one agent with their investor clients makes every referral to that agent.</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Build relationships with CPAs who work with real estate investors. The CPA who advises the investor to do a 1031 exchange is the first person who knows an exchange is pending — months before the relinquished property closes, months before the 45-day clock begins. The CPA who has an agent they trust with exchange buyers is giving their investor client a genuine professional service: preparation for the exchange before the pressure begins. Identify the CPAs in your market who specialize in real estate investor tax planning. Write notes demonstrating exchange knowledge. Request thirty-minute educational meetings — not sales meetings.</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The 1031 buyer opening conversation: "Before we look at anything, I want to map your exchange mechanics specifically. Your identification deadline. Your required replacement value. The three-property versus 200% rule question for your specific exchange structure. Everything we look at will be filtered against these parameters first. There is no point in falling in love with a property that doesn't qualify legally or financially." This conversation tells the investor in thirty seconds that you understand their situation at a level that will prevent the most common and most expensive exchange failure: pursuing a property that does not qualify.</w:t>
      </w:r>
    </w:p>
    <w:p>
      <w:pPr>
        <w:spacing w:before="90" w:after="70"/>
        <w:ind w:left="220"/>
      </w:pPr>
      <w:r>
        <w:rPr>
          <w:rFonts w:ascii="Garamond" w:cs="Garamond" w:eastAsia="Garamond" w:hAnsi="Garamond"/>
          <w:b/>
          <w:bCs/>
          <w:i w:val="false"/>
          <w:iCs w:val="false"/>
          <w:color w:val="C4A95A"/>
          <w:sz w:val="22"/>
          <w:szCs w:val="22"/>
        </w:rPr>
        <w:t xml:space="preserve">4.  </w:t>
      </w:r>
      <w:r>
        <w:rPr>
          <w:rFonts w:ascii="Garamond" w:cs="Garamond" w:eastAsia="Garamond" w:hAnsi="Garamond"/>
          <w:b w:val="false"/>
          <w:bCs w:val="false"/>
          <w:i w:val="false"/>
          <w:iCs w:val="false"/>
          <w:color w:val="1A1A1A"/>
          <w:sz w:val="22"/>
          <w:szCs w:val="22"/>
        </w:rPr>
        <w:t xml:space="preserve">The 45-day identification strategy: on Day 1 of the identification period, have identified properties ready to present. Not "I'll start looking" — properties already identified through your off-market network, your permit contacts, your probate pipeline, and your MLS monitoring that match the investor's exchange requirements. The investor who meets an agent on Day 1 with three qualified properties already identified is meeting an agent who moved before the clock started. The investor who meets an agent on Day 1 and is told "let me start searching" is meeting an agent who will fail the exchange.</w:t>
      </w:r>
    </w:p>
    <w:p>
      <w:pPr>
        <w:spacing w:before="90" w:after="70"/>
        <w:ind w:left="220"/>
      </w:pPr>
      <w:r>
        <w:rPr>
          <w:rFonts w:ascii="Garamond" w:cs="Garamond" w:eastAsia="Garamond" w:hAnsi="Garamond"/>
          <w:b/>
          <w:bCs/>
          <w:i w:val="false"/>
          <w:iCs w:val="false"/>
          <w:color w:val="C4A95A"/>
          <w:sz w:val="22"/>
          <w:szCs w:val="22"/>
        </w:rPr>
        <w:t xml:space="preserve">5.  </w:t>
      </w:r>
      <w:r>
        <w:rPr>
          <w:rFonts w:ascii="Garamond" w:cs="Garamond" w:eastAsia="Garamond" w:hAnsi="Garamond"/>
          <w:b w:val="false"/>
          <w:bCs w:val="false"/>
          <w:i w:val="false"/>
          <w:iCs w:val="false"/>
          <w:color w:val="1A1A1A"/>
          <w:sz w:val="22"/>
          <w:szCs w:val="22"/>
        </w:rPr>
        <w:t xml:space="preserve">The off-market inventory for 1031 buyers: maintain a specific category in your pre-listing relationship database for properties that would qualify for a 1031 exchange — investment properties, rental properties, commercial-adjacent residential. Tag every tired landlord contact, every LLC dissolution contact, every probate estate that includes rental property, as a potential 1031 exchange inventory source. The 1031 buyer who needs a $600,000 replacement property in forty-five days needs the agent with the specific network that produces $600,000 off-market investment properties. Be that agent.</w:t>
      </w:r>
    </w:p>
    <w:p>
      <w:pPr>
        <w:spacing w:before="90" w:after="70"/>
        <w:ind w:left="220"/>
      </w:pPr>
      <w:r>
        <w:rPr>
          <w:rFonts w:ascii="Garamond" w:cs="Garamond" w:eastAsia="Garamond" w:hAnsi="Garamond"/>
          <w:b/>
          <w:bCs/>
          <w:i w:val="false"/>
          <w:iCs w:val="false"/>
          <w:color w:val="C4A95A"/>
          <w:sz w:val="22"/>
          <w:szCs w:val="22"/>
        </w:rPr>
        <w:t xml:space="preserve">6.  </w:t>
      </w:r>
      <w:r>
        <w:rPr>
          <w:rFonts w:ascii="Garamond" w:cs="Garamond" w:eastAsia="Garamond" w:hAnsi="Garamond"/>
          <w:b w:val="false"/>
          <w:bCs w:val="false"/>
          <w:i w:val="false"/>
          <w:iCs w:val="false"/>
          <w:color w:val="1A1A1A"/>
          <w:sz w:val="22"/>
          <w:szCs w:val="22"/>
        </w:rPr>
        <w:t xml:space="preserve">Speed as professional standard: the 1031 buyer has forty-five days. Everything in the transaction must move at a pace that reflects this reality. Same-day property presentations when requested. Same-day offer writing when the property is right. Proactive lender coordination — the exchange buyer who needs financing must have a pre-approved lender before Day 1 of the identification period, not when a property is found. The agent who moves at the speed the exchange requires is the agent the investor calls for every subsequent exchange. The agent who moves at standard buyer pace loses the exchange and the relationship simultaneously.</w:t>
      </w:r>
    </w:p>
    <w:p>
      <w:pPr>
        <w:spacing w:before="90" w:after="70"/>
        <w:ind w:left="220"/>
      </w:pPr>
      <w:r>
        <w:rPr>
          <w:rFonts w:ascii="Garamond" w:cs="Garamond" w:eastAsia="Garamond" w:hAnsi="Garamond"/>
          <w:b/>
          <w:bCs/>
          <w:i w:val="false"/>
          <w:iCs w:val="false"/>
          <w:color w:val="C4A95A"/>
          <w:sz w:val="22"/>
          <w:szCs w:val="22"/>
        </w:rPr>
        <w:t xml:space="preserve">7.  </w:t>
      </w:r>
      <w:r>
        <w:rPr>
          <w:rFonts w:ascii="Garamond" w:cs="Garamond" w:eastAsia="Garamond" w:hAnsi="Garamond"/>
          <w:b w:val="false"/>
          <w:bCs w:val="false"/>
          <w:i w:val="false"/>
          <w:iCs w:val="false"/>
          <w:color w:val="1A1A1A"/>
          <w:sz w:val="22"/>
          <w:szCs w:val="22"/>
        </w:rPr>
        <w:t xml:space="preserve">The QI coordination protocol: maintain active communication with the QI throughout the exchange. Provide the QI with weekly timeline updates during the identification period. Alert the QI immediately when a property is identified so the exchange funds can be prepared for the acquisition. Coordinate the closing timeline with the QI to ensure the exchange funds are positioned correctly at closing. The agent who treats the QI as a transaction partner rather than a closing document processor is providing a level of coordination that QIs almost never receive and that they reward with every subsequent referral.</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Exchange buyer with 43 days remaining on identification period. Two agents. Two outcomes.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Standard agent Day 1: "Let me start searching the MLS and I'll send you some listings."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1</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-6</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-7.0</w:t>
      </w:r>
      <w:r>
        <w:rPr>
          <w:rFonts w:ascii="Garamond" w:cs="Garamond" w:eastAsia="Garamond" w:hAnsi="Garamond"/>
          <w:b w:val="false"/>
          <w:bCs w:val="false"/>
          <w:i/>
          <w:iCs/>
          <w:color w:val="555555"/>
          <w:sz w:val="18"/>
          <w:szCs w:val="18"/>
        </w:rPr>
        <w:t xml:space="preserve">  — Day 7: Three listings sent. None qualify under the exchange value requirement. Clock running.</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Standard agent Day 20: First showing scheduled.</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-8.5</w:t>
      </w:r>
      <w:r>
        <w:rPr>
          <w:rFonts w:ascii="Garamond" w:cs="Garamond" w:eastAsia="Garamond" w:hAnsi="Garamond"/>
          <w:b w:val="false"/>
          <w:bCs w:val="false"/>
          <w:i/>
          <w:iCs/>
          <w:color w:val="555555"/>
          <w:sz w:val="18"/>
          <w:szCs w:val="18"/>
        </w:rPr>
        <w:t xml:space="preserve">  — Day 35: Still looking. No identified properties. Investor beginning to panic.</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Standard agent Day 45: Identification deadline missed.</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-10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10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-10.0</w:t>
      </w:r>
      <w:r>
        <w:rPr>
          <w:rFonts w:ascii="Garamond" w:cs="Garamond" w:eastAsia="Garamond" w:hAnsi="Garamond"/>
          <w:b w:val="false"/>
          <w:bCs w:val="false"/>
          <w:i/>
          <w:iCs/>
          <w:color w:val="555555"/>
          <w:sz w:val="18"/>
          <w:szCs w:val="18"/>
        </w:rPr>
        <w:t xml:space="preserve">  — Tax bill: $187,000. Client relationship: destroyed. Referral: negative. Agent loses every investor referral for years.</w:t>
      </w:r>
    </w:p>
    <w:p>
      <w:pPr>
        <w:spacing w:before="10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Exchange-competent agent Day 1: Three qualified properties identified and presented.</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10.0</w:t>
      </w:r>
      <w:r>
        <w:rPr>
          <w:rFonts w:ascii="Garamond" w:cs="Garamond" w:eastAsia="Garamond" w:hAnsi="Garamond"/>
          <w:b w:val="false"/>
          <w:bCs w:val="false"/>
          <w:i/>
          <w:iCs/>
          <w:color w:val="555555"/>
          <w:sz w:val="18"/>
          <w:szCs w:val="18"/>
        </w:rPr>
        <w:t xml:space="preserve">  — Investor reviews properties same day. Two meet requirements. Written identification submitted to QI.</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Exchange-competent agent Day 8: Offer accepted on primary identified property.</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10.5</w:t>
      </w:r>
      <w:r>
        <w:rPr>
          <w:rFonts w:ascii="Garamond" w:cs="Garamond" w:eastAsia="Garamond" w:hAnsi="Garamond"/>
          <w:b w:val="false"/>
          <w:bCs w:val="false"/>
          <w:i/>
          <w:iCs/>
          <w:color w:val="555555"/>
          <w:sz w:val="18"/>
          <w:szCs w:val="18"/>
        </w:rPr>
        <w:t xml:space="preserve">  — Exchange proceeding within statutory requirements. QI coordinating funds. Closing timeline mapped.</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Exchange-competent agent Day 61: Exchange closes. Tax deferred: $187,000.</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10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10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11.0</w:t>
      </w:r>
      <w:r>
        <w:rPr>
          <w:rFonts w:ascii="Garamond" w:cs="Garamond" w:eastAsia="Garamond" w:hAnsi="Garamond"/>
          <w:b w:val="false"/>
          <w:bCs w:val="false"/>
          <w:i/>
          <w:iCs/>
          <w:color w:val="555555"/>
          <w:sz w:val="18"/>
          <w:szCs w:val="18"/>
        </w:rPr>
        <w:t xml:space="preserve">  — Client relationship: permanent. Investor refers three colleagues to exchange-competent agent within 60 days.</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Referral value from successful exchange versus failed exchange.</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Successful: $180,000+ in referred exchange transactions within 36 months. Failed: no referrals ever. Negative reputation in investor community.</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How many 1031 exchanges closed in your market in the last 12 months? How many of those exchange buyers did you represent? What is the specific revenue value of the gap between those two numbers — and what would closing it require of you in terms of knowledge and relationships?</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1031 Practice Build</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This week: identify the three qualified intermediaries in your market. Write introduction letters demonstrating specific exchange mechanics knowledge. Schedule one meeting. Before the meeting: spend four hours learning the complete exchange mechanics for your state. In the meeting: demonstrate the knowledge, ask about their referral process, offer the specific coordination protocol that makes you the most useful agent they have encountered. The first QI referral converts into the referral relationship that generates exchange business for the duration of your career. Build the first relationship this month.</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X</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Inspection Intelligence</w:t>
      </w:r>
    </w:p>
    <w:p>
      <w:pPr>
        <w:spacing w:before="60" w:after="300"/>
        <w:jc w:val="left"/>
      </w:pPr>
      <w:r>
        <w:rPr>
          <w:rFonts w:ascii="Garamond" w:cs="Garamond" w:eastAsia="Garamond" w:hAnsi="Garamond"/>
          <w:b w:val="false"/>
          <w:bCs w:val="false"/>
          <w:i/>
          <w:iCs/>
          <w:color w:val="555555"/>
          <w:sz w:val="26"/>
          <w:szCs w:val="26"/>
        </w:rPr>
        <w:t xml:space="preserve">The inspection report is not a list of problems. It is a financial and psychological document that determines whether the transaction survives the next seventy-two hours. The agent who understands both levels — the physical and the psychological — closes more transactions than any other agent running the same contracts at the same price points in the same market.</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inspection report does not tell you what is wrong with the house. It tells you what your client will do with the information. Those are entirely different documents and they require entirely different responses. The agent who confuses them loses the transaction at the inspection stage.</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The home inspection is the event horizon of every residential transaction. Before the inspection, both parties are operating on assumption, hope, and the projections that motivated the offer. After the inspection, reality is on the table — in specific, documented form, with photographs, with professional observations about the condition of systems and structures that both parties had abstracted until this moment. The inspection does not change the house. It changes the information environment of the transaction.</w:t>
      </w:r>
    </w:p>
    <w:p>
      <w:pPr>
        <w:spacing w:before="160" w:after="100"/>
        <w:jc w:val="both"/>
      </w:pPr>
      <w:r>
        <w:rPr>
          <w:rFonts w:ascii="Garamond" w:cs="Garamond" w:eastAsia="Garamond" w:hAnsi="Garamond"/>
          <w:b w:val="false"/>
          <w:bCs w:val="false"/>
          <w:i w:val="false"/>
          <w:iCs w:val="false"/>
          <w:color w:val="1A1A1A"/>
          <w:sz w:val="24"/>
          <w:szCs w:val="24"/>
        </w:rPr>
        <w:t xml:space="preserve">The inspection report is, technically, a document describing the physical condition of a property. In practice, it is an emotional document that lands in the buyer's hands at the moment of maximum anxiety and produces one of three responses: relief (the report is better than feared), manageable concern (the report contains issues but nothing unexpected for this property type and age), or panic (the report contains something unexpected that triggers the fundamental doubt about the decision). The agent's role in the inspection phase is to manage the trajectory from delivery to response — a period of forty-eight to seventy-two hours of unstructured time during which the buyer is reading a technical document designed to protect the inspector from liability.</w:t>
      </w:r>
    </w:p>
    <w:p>
      <w:pPr>
        <w:spacing w:before="160" w:after="100"/>
        <w:jc w:val="both"/>
      </w:pPr>
      <w:r>
        <w:rPr>
          <w:rFonts w:ascii="Garamond" w:cs="Garamond" w:eastAsia="Garamond" w:hAnsi="Garamond"/>
          <w:b w:val="false"/>
          <w:bCs w:val="false"/>
          <w:i w:val="false"/>
          <w:iCs w:val="false"/>
          <w:color w:val="1A1A1A"/>
          <w:sz w:val="24"/>
          <w:szCs w:val="24"/>
        </w:rPr>
        <w:t xml:space="preserve">The inspection report was not designed to help a non-expert make a rational decision about a property. It was designed to document every observable condition, to recommend professional evaluation for anything uncertain, and to protect the inspector legally from claims of negligent inspection. A well-executed inspection report on a thirty-year-old home typically contains forty to ninety noted items. The buyer who reads this document without interpretive guidance is reading a document designed for inspectors and attorneys. They are not reading a document designed to inform a purchase decision.</w:t>
      </w:r>
    </w:p>
    <w:p>
      <w:pPr>
        <w:spacing w:before="160" w:after="100"/>
        <w:jc w:val="both"/>
      </w:pPr>
      <w:r>
        <w:rPr>
          <w:rFonts w:ascii="Garamond" w:cs="Garamond" w:eastAsia="Garamond" w:hAnsi="Garamond"/>
          <w:b w:val="false"/>
          <w:bCs w:val="false"/>
          <w:i w:val="false"/>
          <w:iCs w:val="false"/>
          <w:color w:val="1A1A1A"/>
          <w:sz w:val="24"/>
          <w:szCs w:val="24"/>
        </w:rPr>
        <w:t xml:space="preserve">The uninstructed buyer, alone with an inspection report, does one of two things: they minimize it (this is fine, we want the house) or they catastrophize it (this is a disaster, we cannot buy this house). Both responses are wrong. The minimizing buyer accepts conditions that will cost them money in the first year of ownership. The catastrophizing buyer walks away from a property that was perfectly sound based on a document they were not equipped to interpret. Neither response serves the buyer's interest. Both are the product of the buyer encountering a technical document without the specific interpretive guidance that converts it from an anxiety-generating list into a rational risk assessment.</w:t>
      </w:r>
    </w:p>
    <w:p>
      <w:pPr>
        <w:spacing w:before="160" w:after="100"/>
        <w:jc w:val="both"/>
      </w:pPr>
      <w:r>
        <w:rPr>
          <w:rFonts w:ascii="Garamond" w:cs="Garamond" w:eastAsia="Garamond" w:hAnsi="Garamond"/>
          <w:b w:val="false"/>
          <w:bCs w:val="false"/>
          <w:i w:val="false"/>
          <w:iCs w:val="false"/>
          <w:color w:val="1A1A1A"/>
          <w:sz w:val="24"/>
          <w:szCs w:val="24"/>
        </w:rPr>
        <w:t xml:space="preserve">The agent who has prepared the buyer for the inspection report — who has had the specific interpretive conversation before the inspection that explains what the report will contain, what is typical versus genuinely concerning, how to read the severity indicators, how to evaluate what requires negotiation versus what is maintenance information — is not managing a crisis when the report arrives. They are confirming a plan that was already designed. The buyer who has been prepared is a different buyer from the buyer who has not. The prepared buyer reads the report through a framework the agent provided. The unprepared buyer reads the report through fear.</w:t>
      </w:r>
    </w:p>
    <w:p>
      <w:pPr>
        <w:spacing w:before="160" w:after="100"/>
        <w:jc w:val="both"/>
      </w:pPr>
      <w:r>
        <w:rPr>
          <w:rFonts w:ascii="Garamond" w:cs="Garamond" w:eastAsia="Garamond" w:hAnsi="Garamond"/>
          <w:b w:val="false"/>
          <w:bCs w:val="false"/>
          <w:i w:val="false"/>
          <w:iCs w:val="false"/>
          <w:color w:val="1A1A1A"/>
          <w:sz w:val="24"/>
          <w:szCs w:val="24"/>
        </w:rPr>
        <w:t xml:space="preserve">The second level of inspection intelligence is the strategic reading — the analysis of the report as a negotiation document rather than as a physical inventory. The report contains items that range from immediate safety concerns to cosmetic observations. The strategic reader identifies the three to five items that represent the highest financial exposure, are clearly visible and therefore difficult for the seller to contest, and are most efficiently resolved through a credit rather than through a repair. These items are the negotiating leverage. The rest of the report is supporting documentation. The agent who reads the report strategically — before the buyer calls about it, before the negotiation begins — is performing a form of transaction engineering that the agent who reads the report as a punch list is not performing.</w:t>
      </w:r>
    </w:p>
    <w:p>
      <w:pPr>
        <w:spacing w:before="160" w:after="100"/>
        <w:jc w:val="both"/>
      </w:pPr>
      <w:r>
        <w:rPr>
          <w:rFonts w:ascii="Garamond" w:cs="Garamond" w:eastAsia="Garamond" w:hAnsi="Garamond"/>
          <w:b w:val="false"/>
          <w:bCs w:val="false"/>
          <w:i w:val="false"/>
          <w:iCs w:val="false"/>
          <w:color w:val="1A1A1A"/>
          <w:sz w:val="24"/>
          <w:szCs w:val="24"/>
        </w:rPr>
        <w:t xml:space="preserve">The credit versus repair doctrine is one of the most consistently underused inspection negotiation strategies available. In almost every transaction, requesting a credit produces a better outcome for the buyer than requesting repairs. The buyer who receives a credit controls the remediation — they choose their contractor, negotiate the repair, and retain any difference if the repair proves less expensive than the credit amount. The buyer who requests repairs is dependent on the seller's contractor, the seller's timeline, and the seller's definition of "repaired" — which may not match any reasonable standard. The agent who teaches this doctrine to every buyer before the inspection negotiation is providing intelligence that changes the financial outcome of the negotiation.</w:t>
      </w:r>
    </w:p>
    <w:p>
      <w:pPr>
        <w:spacing w:before="160" w:after="100"/>
        <w:jc w:val="both"/>
      </w:pPr>
      <w:r>
        <w:rPr>
          <w:rFonts w:ascii="Garamond" w:cs="Garamond" w:eastAsia="Garamond" w:hAnsi="Garamond"/>
          <w:b w:val="false"/>
          <w:bCs w:val="false"/>
          <w:i w:val="false"/>
          <w:iCs w:val="false"/>
          <w:color w:val="1A1A1A"/>
          <w:sz w:val="24"/>
          <w:szCs w:val="24"/>
        </w:rPr>
        <w:t xml:space="preserve">The relationship between the agents in an inspection negotiation is a frequently overlooked variable that determines the outcome more than the specific items requested. Two agents who trust each other can resolve an inspection negotiation in a five-minute phone conversation that produces an outcome better for both clients than three days of formal addendum exchange would have produced. Two agents who do not have a trust relationship will exchange formal documents for three days and may lose the transaction to the adversarial dynamic. The professional reputation that Estate XII addresses — the relationship currency with other agents in the market — is nowhere more valuable than in the inspection negotiation. The agent with the strong professional reputation navigates inspections faster, with better outcomes, and with fewer transaction casualties than the agent without it.</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The Pre-Inspection Conversation is the single most transaction-protective investment available in any buyer representation. Before every inspection, spend thirty minutes with your buyer using this specific framework: "Inspection reports look alarming the first time you read one because inspectors document everything they observe and recommend professional evaluation for anything uncertain. This protects the inspector legally. Here is how to read the report: there are typically three categories — safety items that require immediate attention, functional items that will need attention in the near term, and maintenance items that are normal for the age and type of the property. We will build our response around the first category, use the second category strategically, and ignore the third category entirely. I want you to call me before you decide anything about what you read." This conversation prevents 80% of buyer panic at the inspection stage.</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Read the report strategically before the buyer calls about it. When the report arrives, read it once for emotional content — what is going to alarm the buyer most, what language is most likely to trigger panic — and once for strategic content — what items represent the highest financial exposure, what items are most clearly documented and most defensible in a negotiation, what items are most efficiently resolved through credit. Have your recommendation ready before the buyer's call. The buyer who calls an unprepared agent gets an unprepared response. The buyer who calls a prepared agent gets a strategy.</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The Negotiation Item Selection: identify the three items that will be the core of the negotiation request. Selection criteria: (1) Highest estimated repair cost based on market-calibrated repair estimates — develop a relationship with a general contractor who provides informal estimates, which creates a calibration tool for every inspection negotiation. (2) Clearly documented in the report with photographs, making them difficult for the seller to contest. (3) Best suited to credit rather than repair — systemic issues, deferred maintenance items, components approaching end of useful life rather than items requiring specific skilled trades. The negotiation request built around these three items is specific, defensible, and credible. The request that includes every item in the report is not credible and invites rejection.</w:t>
      </w:r>
    </w:p>
    <w:p>
      <w:pPr>
        <w:spacing w:before="90" w:after="70"/>
        <w:ind w:left="220"/>
      </w:pPr>
      <w:r>
        <w:rPr>
          <w:rFonts w:ascii="Garamond" w:cs="Garamond" w:eastAsia="Garamond" w:hAnsi="Garamond"/>
          <w:b/>
          <w:bCs/>
          <w:i w:val="false"/>
          <w:iCs w:val="false"/>
          <w:color w:val="C4A95A"/>
          <w:sz w:val="22"/>
          <w:szCs w:val="22"/>
        </w:rPr>
        <w:t xml:space="preserve">4.  </w:t>
      </w:r>
      <w:r>
        <w:rPr>
          <w:rFonts w:ascii="Garamond" w:cs="Garamond" w:eastAsia="Garamond" w:hAnsi="Garamond"/>
          <w:b w:val="false"/>
          <w:bCs w:val="false"/>
          <w:i w:val="false"/>
          <w:iCs w:val="false"/>
          <w:color w:val="1A1A1A"/>
          <w:sz w:val="22"/>
          <w:szCs w:val="22"/>
        </w:rPr>
        <w:t xml:space="preserve">The credit calculation: for each negotiation item, research the market cost of the repair from your contractor relationship. Request 110-120% of the estimated repair cost as a credit. The 10-20% buffer above the actual repair cost reflects the administrative burden of managing the repair after closing, the uncertainty in contractor pricing, and the negotiating room that allows the negotiation to settle at approximately the actual repair cost. The seller who receives a credit request of $22,500 on items with actual repair costs of $18,750 will likely counter at $17,000-$19,000 and settle at $18,750-$20,000. The transaction closes at a credit that approximately reflects the genuine cost. This is the correct outcome.</w:t>
      </w:r>
    </w:p>
    <w:p>
      <w:pPr>
        <w:spacing w:before="90" w:after="70"/>
        <w:ind w:left="220"/>
      </w:pPr>
      <w:r>
        <w:rPr>
          <w:rFonts w:ascii="Garamond" w:cs="Garamond" w:eastAsia="Garamond" w:hAnsi="Garamond"/>
          <w:b/>
          <w:bCs/>
          <w:i w:val="false"/>
          <w:iCs w:val="false"/>
          <w:color w:val="C4A95A"/>
          <w:sz w:val="22"/>
          <w:szCs w:val="22"/>
        </w:rPr>
        <w:t xml:space="preserve">5.  </w:t>
      </w:r>
      <w:r>
        <w:rPr>
          <w:rFonts w:ascii="Garamond" w:cs="Garamond" w:eastAsia="Garamond" w:hAnsi="Garamond"/>
          <w:b w:val="false"/>
          <w:bCs w:val="false"/>
          <w:i w:val="false"/>
          <w:iCs w:val="false"/>
          <w:color w:val="1A1A1A"/>
          <w:sz w:val="22"/>
          <w:szCs w:val="22"/>
        </w:rPr>
        <w:t xml:space="preserve">The Agent-to-Agent Conversation: before writing the formal inspection addendum, call the listing agent. "I want to give you a heads up before the addendum arrives. My buyer has real concerns about [the two or three primary items]. I think we can resolve this with a credit rather than repairs, and I want to understand whether that structure works for your seller before we put anything in writing." This call does three things: it demonstrates professional courtesy that the listing agent will reciprocate, it identifies whether the seller has a preferred resolution structure before the negotiation begins, and it provides informal intelligence about the seller's flexibility that the formal addendum process cannot produce. The transactions resolved through this conversation close faster and with better outcomes for both parties.</w:t>
      </w:r>
    </w:p>
    <w:p>
      <w:pPr>
        <w:spacing w:before="90" w:after="70"/>
        <w:ind w:left="220"/>
      </w:pPr>
      <w:r>
        <w:rPr>
          <w:rFonts w:ascii="Garamond" w:cs="Garamond" w:eastAsia="Garamond" w:hAnsi="Garamond"/>
          <w:b/>
          <w:bCs/>
          <w:i w:val="false"/>
          <w:iCs w:val="false"/>
          <w:color w:val="C4A95A"/>
          <w:sz w:val="22"/>
          <w:szCs w:val="22"/>
        </w:rPr>
        <w:t xml:space="preserve">6.  </w:t>
      </w:r>
      <w:r>
        <w:rPr>
          <w:rFonts w:ascii="Garamond" w:cs="Garamond" w:eastAsia="Garamond" w:hAnsi="Garamond"/>
          <w:b w:val="false"/>
          <w:bCs w:val="false"/>
          <w:i w:val="false"/>
          <w:iCs w:val="false"/>
          <w:color w:val="1A1A1A"/>
          <w:sz w:val="22"/>
          <w:szCs w:val="22"/>
        </w:rPr>
        <w:t xml:space="preserve">The post-inspection client communication: after the negotiation is resolved, give the buyer a written summary of what was requested, what was received, and specifically what the credit represents in terms of their financial position. "The $18,750 credit you received covers the estimated cost of [specific items], giving you approximately the full cost of the required work without the administrative burden of managing it before closing." This written summary converts the negotiation outcome from an abstract number into a concrete financial result. The buyer who understands specifically what they received refers the agent at a higher rate than the buyer who received the same result but only experienced it as the number on the closing statement.</w:t>
      </w:r>
    </w:p>
    <w:p>
      <w:pPr>
        <w:spacing w:before="90" w:after="70"/>
        <w:ind w:left="220"/>
      </w:pPr>
      <w:r>
        <w:rPr>
          <w:rFonts w:ascii="Garamond" w:cs="Garamond" w:eastAsia="Garamond" w:hAnsi="Garamond"/>
          <w:b/>
          <w:bCs/>
          <w:i w:val="false"/>
          <w:iCs w:val="false"/>
          <w:color w:val="C4A95A"/>
          <w:sz w:val="22"/>
          <w:szCs w:val="22"/>
        </w:rPr>
        <w:t xml:space="preserve">7.  </w:t>
      </w:r>
      <w:r>
        <w:rPr>
          <w:rFonts w:ascii="Garamond" w:cs="Garamond" w:eastAsia="Garamond" w:hAnsi="Garamond"/>
          <w:b w:val="false"/>
          <w:bCs w:val="false"/>
          <w:i w:val="false"/>
          <w:iCs w:val="false"/>
          <w:color w:val="1A1A1A"/>
          <w:sz w:val="22"/>
          <w:szCs w:val="22"/>
        </w:rPr>
        <w:t xml:space="preserve">The inspection intelligence calibration: after every inspection negotiation, record three data points in your tracking system. The items requested. The credit received. The actual cost of the repairs post-close if you can obtain that data from the buyer. Over twenty inspections, this data produces a calibration for your market that no training program provides: the specific relationship between reported inspection items, requested credits, achieved credits, and actual repair costs. The agent with this calibration is running a materially better negotiation than any agent without it.</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Same transaction. Same inspection report. Same inspector. Different agent preparation.</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Unprepared buyer reads 67-item report alone at 9pm. No pre-inspection framework provided.</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-6</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10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-8.0</w:t>
      </w:r>
      <w:r>
        <w:rPr>
          <w:rFonts w:ascii="Garamond" w:cs="Garamond" w:eastAsia="Garamond" w:hAnsi="Garamond"/>
          <w:b w:val="false"/>
          <w:bCs w:val="false"/>
          <w:i/>
          <w:iCs/>
          <w:color w:val="555555"/>
          <w:sz w:val="18"/>
          <w:szCs w:val="18"/>
        </w:rPr>
        <w:t xml:space="preserve">  — Panic by 10pm. "I don't think we can do this — it's a disaster." Agent called at 11pm to manage a crisis that was entirely preventable.</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Prepared buyer reads same 67-item report. Pre-inspection framework provided.</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6</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8.5</w:t>
      </w:r>
      <w:r>
        <w:rPr>
          <w:rFonts w:ascii="Garamond" w:cs="Garamond" w:eastAsia="Garamond" w:hAnsi="Garamond"/>
          <w:b w:val="false"/>
          <w:bCs w:val="false"/>
          <w:i/>
          <w:iCs/>
          <w:color w:val="555555"/>
          <w:sz w:val="18"/>
          <w:szCs w:val="18"/>
        </w:rPr>
        <w:t xml:space="preserve">  — Buyer: "There are a few red items like you said. I'm not panicking. What's our strategy?" Agent gets this call at 9am.</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Unprepared agent: requests every item in the 67-item report. Total requested: $61,000.</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1</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-4</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-6.0</w:t>
      </w:r>
      <w:r>
        <w:rPr>
          <w:rFonts w:ascii="Garamond" w:cs="Garamond" w:eastAsia="Garamond" w:hAnsi="Garamond"/>
          <w:b w:val="false"/>
          <w:bCs w:val="false"/>
          <w:i/>
          <w:iCs/>
          <w:color w:val="555555"/>
          <w:sz w:val="18"/>
          <w:szCs w:val="18"/>
        </w:rPr>
        <w:t xml:space="preserve">  — Seller rejects entirely. Counter: $0. Negotiation collapses. Transaction at risk.</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Strategic agent: requests three primary items with specific credit amounts. Total requested: $24,500.</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7</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8.5</w:t>
      </w:r>
      <w:r>
        <w:rPr>
          <w:rFonts w:ascii="Garamond" w:cs="Garamond" w:eastAsia="Garamond" w:hAnsi="Garamond"/>
          <w:b w:val="false"/>
          <w:bCs w:val="false"/>
          <w:i/>
          <w:iCs/>
          <w:color w:val="555555"/>
          <w:sz w:val="18"/>
          <w:szCs w:val="18"/>
        </w:rPr>
        <w:t xml:space="preserve">  — Seller counters at $19,000. Transaction settles at $21,750. Both parties satisfied. Transaction closes.</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Credit versus repair selection: buyer uses credit to hire preferred contractor.</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9.5</w:t>
      </w:r>
      <w:r>
        <w:rPr>
          <w:rFonts w:ascii="Garamond" w:cs="Garamond" w:eastAsia="Garamond" w:hAnsi="Garamond"/>
          <w:b w:val="false"/>
          <w:bCs w:val="false"/>
          <w:i/>
          <w:iCs/>
          <w:color w:val="555555"/>
          <w:sz w:val="18"/>
          <w:szCs w:val="18"/>
        </w:rPr>
        <w:t xml:space="preserve">  — Actual repair cost: $17,200. Buyer retains $4,550 above repair cost. Total buyer benefit: $21,750.</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Buyer at six-month mark: house in excellent condition, repairs completed below credit.</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10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10.5</w:t>
      </w:r>
      <w:r>
        <w:rPr>
          <w:rFonts w:ascii="Garamond" w:cs="Garamond" w:eastAsia="Garamond" w:hAnsi="Garamond"/>
          <w:b w:val="false"/>
          <w:bCs w:val="false"/>
          <w:i/>
          <w:iCs/>
          <w:color w:val="555555"/>
          <w:sz w:val="18"/>
          <w:szCs w:val="18"/>
        </w:rPr>
        <w:t xml:space="preserve">  — Referral: "Our agent knew exactly how to handle the inspection — it was the smoothest part of a stressful process."</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What percentage of your transactions in the last year had inspection negotiations that created significant client stress? What percentage of that stress was preventable through a pre-inspection conversation? What was the business cost — in transaction losses and referral foregone — of not preventing it?</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Inspection Protocol</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Create the pre-inspection script this week. Specific language for the buyer conversation. Specific framework for the three-category reading approach. Build the repair cost calibration database — find a general contractor relationship that provides informal estimates, and start calibrating the relationship between inspection items and market repair costs. Implement the agent-to-agent call protocol on every inspection negotiation starting immediately. Over the next ten inspections, track: buyer stress level post-inspection, negotiation settlement rate, credit achieved as percentage of requested, and transaction completion rate. The numbers will tell you whether the protocol is working. The numbers will tell you what to adjust.</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XI</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Appraisal Package</w:t>
      </w:r>
    </w:p>
    <w:p>
      <w:pPr>
        <w:spacing w:before="60" w:after="300"/>
        <w:jc w:val="left"/>
      </w:pPr>
      <w:r>
        <w:rPr>
          <w:rFonts w:ascii="Garamond" w:cs="Garamond" w:eastAsia="Garamond" w:hAnsi="Garamond"/>
          <w:b w:val="false"/>
          <w:bCs w:val="false"/>
          <w:i/>
          <w:iCs/>
          <w:color w:val="555555"/>
          <w:sz w:val="26"/>
          <w:szCs w:val="26"/>
        </w:rPr>
        <w:t xml:space="preserve">The appraiser assigned to your transaction will find the comparables they find. Unless you provide the right ones first. This one practice changes the outcome of more transactions than any other single action available to the listing agent — and costs less time to execute than the marketing plan that fills the same slot in your listing appointment.</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appraisal is not an independent assessment of value. It is a judgment call made from a limited dataset, in limited time, by a professional who may or may not know your specific micro-market. The agent who provides the right dataset controls the starting point and changes the outcome.</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The home appraisal is widely understood as an independent, objective assessment of property value conducted by a disinterested licensed professional. This understanding is accurate in the legal sense — the appraiser is not employed by the buyer, the seller, or the agent, and has a legal obligation to provide an independent opinion. It is incomplete in a way that is financially consequential for every transaction that depends on an appraisal to complete.</w:t>
      </w:r>
    </w:p>
    <w:p>
      <w:pPr>
        <w:spacing w:before="160" w:after="100"/>
        <w:jc w:val="both"/>
      </w:pPr>
      <w:r>
        <w:rPr>
          <w:rFonts w:ascii="Garamond" w:cs="Garamond" w:eastAsia="Garamond" w:hAnsi="Garamond"/>
          <w:b w:val="false"/>
          <w:bCs w:val="false"/>
          <w:i w:val="false"/>
          <w:iCs w:val="false"/>
          <w:color w:val="1A1A1A"/>
          <w:sz w:val="24"/>
          <w:szCs w:val="24"/>
        </w:rPr>
        <w:t xml:space="preserve">The appraiser's job is to support or contest the contract price using comparable sales within specific geographic and time parameters, adjusted for the physical differences between the comparable properties and the subject. The appraiser does not have unlimited time to perform this analysis. They typically spend ninety minutes to three hours at the property and then conduct desk research to identify and analyze comparables. The comparables they find are the comparables that appear in the public MLS data within their standard search parameters.</w:t>
      </w:r>
    </w:p>
    <w:p>
      <w:pPr>
        <w:spacing w:before="160" w:after="100"/>
        <w:jc w:val="both"/>
      </w:pPr>
      <w:r>
        <w:rPr>
          <w:rFonts w:ascii="Garamond" w:cs="Garamond" w:eastAsia="Garamond" w:hAnsi="Garamond"/>
          <w:b w:val="false"/>
          <w:bCs w:val="false"/>
          <w:i w:val="false"/>
          <w:iCs w:val="false"/>
          <w:color w:val="1A1A1A"/>
          <w:sz w:val="24"/>
          <w:szCs w:val="24"/>
        </w:rPr>
        <w:t xml:space="preserve">The problem is not that the appraiser is incompetent or dishonest. The problem is that the MLS data is structurally incomplete for the purpose of supporting premium prices. The MLS record for a comparable sale shows the square footage, the bedroom and bathroom count, the sale date, and the sale price. It does not show that the kitchen was dated in a way that specifically reduced the price. It does not show that the lot was in a flood zone that explains the discount. It does not show that the specific sale was a divorce-driven transaction that produced a below-market result. The appraiser adjusting from MLS data alone is making adjustments from information that is structurally insufficient for anything more than a broad approximation.</w:t>
      </w:r>
    </w:p>
    <w:p>
      <w:pPr>
        <w:spacing w:before="160" w:after="100"/>
        <w:jc w:val="both"/>
      </w:pPr>
      <w:r>
        <w:rPr>
          <w:rFonts w:ascii="Garamond" w:cs="Garamond" w:eastAsia="Garamond" w:hAnsi="Garamond"/>
          <w:b w:val="false"/>
          <w:bCs w:val="false"/>
          <w:i w:val="false"/>
          <w:iCs w:val="false"/>
          <w:color w:val="1A1A1A"/>
          <w:sz w:val="24"/>
          <w:szCs w:val="24"/>
        </w:rPr>
        <w:t xml:space="preserve">The appraisal package is the specific set of documents provided to the appraiser before the property inspection that supplies the information the MLS cannot provide. It is not an attempt to influence the appraisal improperly. It is the provision of accurate information that the appraiser is both entitled and obligated to consider. The appraiser who receives comprehensive, well-organized, relevant information about the subject property and the comparable sales is performing a more accurate assessment than the appraiser who has not received it.</w:t>
      </w:r>
    </w:p>
    <w:p>
      <w:pPr>
        <w:spacing w:before="160" w:after="100"/>
        <w:jc w:val="both"/>
      </w:pPr>
      <w:r>
        <w:rPr>
          <w:rFonts w:ascii="Garamond" w:cs="Garamond" w:eastAsia="Garamond" w:hAnsi="Garamond"/>
          <w:b w:val="false"/>
          <w:bCs w:val="false"/>
          <w:i w:val="false"/>
          <w:iCs w:val="false"/>
          <w:color w:val="1A1A1A"/>
          <w:sz w:val="24"/>
          <w:szCs w:val="24"/>
        </w:rPr>
        <w:t xml:space="preserve">The specific information asymmetry that the appraisal package addresses: the listing agent knows things about the subject property and the comparable sales that the appraiser does not know from the MLS record. The listing agent knows the scope and cost of the renovations — with permits and invoices. The listing agent knows which of the available comparables is a poor comparison and why. The listing agent knows the specific neighborhood characteristics — the school performance, the walkability, the specific amenities — that are affecting buyer demand but are not captured in any MLS data field. The listing agent who provides this information is closing the information asymmetry between what they know and what the appraiser knows. The closed asymmetry produces a more accurate appraisal.</w:t>
      </w:r>
    </w:p>
    <w:p>
      <w:pPr>
        <w:spacing w:before="160" w:after="100"/>
        <w:jc w:val="both"/>
      </w:pPr>
      <w:r>
        <w:rPr>
          <w:rFonts w:ascii="Garamond" w:cs="Garamond" w:eastAsia="Garamond" w:hAnsi="Garamond"/>
          <w:b w:val="false"/>
          <w:bCs w:val="false"/>
          <w:i w:val="false"/>
          <w:iCs w:val="false"/>
          <w:color w:val="1A1A1A"/>
          <w:sz w:val="24"/>
          <w:szCs w:val="24"/>
        </w:rPr>
        <w:t xml:space="preserve">The behavioral economics of the appraisal process: the anchoring effect described in Estate XXXV applies to the appraiser as well as to the buyer. The appraiser who receives a well-organized package that demonstrates how the contract price is supported by the available evidence is not immune to anchoring. They are human. They are subject to the same cognitive patterns as every other human professional. The first credible evidence they see sets the reference point for their analysis. The agent who provides that first evidence — organized and compelling — is participating in the appraisal process in a way that is both legal and highly effective.</w:t>
      </w:r>
    </w:p>
    <w:p>
      <w:pPr>
        <w:spacing w:before="160" w:after="100"/>
        <w:jc w:val="both"/>
      </w:pPr>
      <w:r>
        <w:rPr>
          <w:rFonts w:ascii="Garamond" w:cs="Garamond" w:eastAsia="Garamond" w:hAnsi="Garamond"/>
          <w:b w:val="false"/>
          <w:bCs w:val="false"/>
          <w:i w:val="false"/>
          <w:iCs w:val="false"/>
          <w:color w:val="1A1A1A"/>
          <w:sz w:val="24"/>
          <w:szCs w:val="24"/>
        </w:rPr>
        <w:t xml:space="preserve">The compound of the appraisal package practice: in a market where 20-30% of transactions involve an appraisal gap — where the appraisal comes in below the contract price and jeopardizes the transaction — the agent who consistently provides appraisal packages is protecting 20-30% more of their transactions from one of the most common causes of contract collapse. Over a twenty-transaction year, this is four to six additional transactions that close rather than collapse. At average commission, this is $36,000-$54,000 in additional annual GCI from one practice that takes three hours per listing to execute.</w:t>
      </w:r>
    </w:p>
    <w:p>
      <w:pPr>
        <w:spacing w:before="160" w:after="100"/>
        <w:jc w:val="both"/>
      </w:pPr>
      <w:r>
        <w:rPr>
          <w:rFonts w:ascii="Garamond" w:cs="Garamond" w:eastAsia="Garamond" w:hAnsi="Garamond"/>
          <w:b w:val="false"/>
          <w:bCs w:val="false"/>
          <w:i w:val="false"/>
          <w:iCs w:val="false"/>
          <w:color w:val="1A1A1A"/>
          <w:sz w:val="24"/>
          <w:szCs w:val="24"/>
        </w:rPr>
        <w:t xml:space="preserve">The listing agent who saves sellers from low appraisals generates a specific and powerful referral dynamic: the seller who was protected from a $25,000 appraisal gap — who would have lost that amount either through a price concession to the buyer or through a transaction collapse — does not know to attribute the outcome to the appraisal package. The agent should tell them. "The appraisal came in at the contract price. I want to tell you why — I prepared a specific package for the appraiser that included the renovation documentation and the comparable analysis. Without it, there is a reasonable probability the appraisal would have been lower." The seller who understands what was done on their behalf is the seller who tells everyone.</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Build the standard appraisal package template now, before the next listing appointment. Six sections: (1) Cover letter from you to the appraiser, identifying the property, the contract price, and introducing the package. (2) Subject property summary — age, square footage, lot size, bedroom/bath configuration, year of every significant improvement with estimated cost and permit documentation. (3) Improvement documentation — for any renovation completed in the last seven years, include the permit record, the contractor invoice or proposal, before/after photographs if available, and material specifications for significant components. (4) Comparable sales analysis — the three comparables that most closely support the contract price, with photographs and specific adjustment rationale for each difference from the subject. (5) Negative comparable explanation — for any recent sale that will appear in the appraiser's search but that is not a valid comparable, a specific written explanation of why it should be adjusted or excluded. (6) Market conditions addendum — current inventory levels, absorption rate, days-on-market trend, list-to-sale ratio in the subject property's price range.</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Deliver the package to the appraiser before their property visit. Contact the appraiser directly — the lender will provide their name and contact information once assigned. "I have prepared a comprehensive package for the appraisal of [address] that includes the renovation documentation, comparable analysis, and market conditions data. Can I send it to you before your inspection?" Most appraisers will accept it and will find it genuinely useful. The appraiser who reviews the package before the inspection is conducting a more informed assessment. The informed assessment is in everyone's interest except the appraiser who would have produced a low appraisal based on insufficient information.</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The comparable selection strategy: identify the three best comparables using the same methodology the appraiser will use — same time period (ideally ninety days, maximum one hundred eighty days), same geographic proximity, similar physical characteristics — and then provide the specific adjustment rationale that explains why each comparable supports the contract price. The adjustments should be specific and defensible: not "the subject has a superior kitchen" but "the subject's kitchen was renovated in 2022 at a documented cost of $68,000. The kitchen in the comparable was original construction. The typical market adjustment for this renovation scope in this neighborhood, based on the three sales I have identified where renovated and original kitchens were available as paired comparisons, is $35,000-$45,000."</w:t>
      </w:r>
    </w:p>
    <w:p>
      <w:pPr>
        <w:spacing w:before="90" w:after="70"/>
        <w:ind w:left="220"/>
      </w:pPr>
      <w:r>
        <w:rPr>
          <w:rFonts w:ascii="Garamond" w:cs="Garamond" w:eastAsia="Garamond" w:hAnsi="Garamond"/>
          <w:b/>
          <w:bCs/>
          <w:i w:val="false"/>
          <w:iCs w:val="false"/>
          <w:color w:val="C4A95A"/>
          <w:sz w:val="22"/>
          <w:szCs w:val="22"/>
        </w:rPr>
        <w:t xml:space="preserve">4.  </w:t>
      </w:r>
      <w:r>
        <w:rPr>
          <w:rFonts w:ascii="Garamond" w:cs="Garamond" w:eastAsia="Garamond" w:hAnsi="Garamond"/>
          <w:b w:val="false"/>
          <w:bCs w:val="false"/>
          <w:i w:val="false"/>
          <w:iCs w:val="false"/>
          <w:color w:val="1A1A1A"/>
          <w:sz w:val="22"/>
          <w:szCs w:val="22"/>
        </w:rPr>
        <w:t xml:space="preserve">The improvement documentation is the highest-impact element for renovated properties. The appraiser cannot make an accurate adjustment for a kitchen renovation they are estimating from observation. They can make a very accurate adjustment for a kitchen renovation documented with permits, contractor invoices, and before/after photographs showing the scope of the work. Collect this documentation at the listing appointment. Ask the seller for permit records and renovation invoices. Most sellers have them. Most listing agents never ask for them.</w:t>
      </w:r>
    </w:p>
    <w:p>
      <w:pPr>
        <w:spacing w:before="90" w:after="70"/>
        <w:ind w:left="220"/>
      </w:pPr>
      <w:r>
        <w:rPr>
          <w:rFonts w:ascii="Garamond" w:cs="Garamond" w:eastAsia="Garamond" w:hAnsi="Garamond"/>
          <w:b/>
          <w:bCs/>
          <w:i w:val="false"/>
          <w:iCs w:val="false"/>
          <w:color w:val="C4A95A"/>
          <w:sz w:val="22"/>
          <w:szCs w:val="22"/>
        </w:rPr>
        <w:t xml:space="preserve">5.  </w:t>
      </w:r>
      <w:r>
        <w:rPr>
          <w:rFonts w:ascii="Garamond" w:cs="Garamond" w:eastAsia="Garamond" w:hAnsi="Garamond"/>
          <w:b w:val="false"/>
          <w:bCs w:val="false"/>
          <w:i w:val="false"/>
          <w:iCs w:val="false"/>
          <w:color w:val="1A1A1A"/>
          <w:sz w:val="22"/>
          <w:szCs w:val="22"/>
        </w:rPr>
        <w:t xml:space="preserve">The negative comparable analysis is the most commonly omitted element and the element that most frequently saves transactions. In any active market, recent sales include distressed transactions, divorce-driven sales, estate sales, and condition-impaired properties that sold at significant discounts for reasons that are not visible in the MLS record. The appraiser who uses these sales as comparables is producing an appraisal that is biased toward the median by the inclusion of below-market transactions. The agent who identifies these sales, provides the specific reasons they are not valid comparables for a standard sale, and documents those reasons in the package is providing the information the appraiser needs to exclude or significantly adjust these transactions.</w:t>
      </w:r>
    </w:p>
    <w:p>
      <w:pPr>
        <w:spacing w:before="90" w:after="70"/>
        <w:ind w:left="220"/>
      </w:pPr>
      <w:r>
        <w:rPr>
          <w:rFonts w:ascii="Garamond" w:cs="Garamond" w:eastAsia="Garamond" w:hAnsi="Garamond"/>
          <w:b/>
          <w:bCs/>
          <w:i w:val="false"/>
          <w:iCs w:val="false"/>
          <w:color w:val="C4A95A"/>
          <w:sz w:val="22"/>
          <w:szCs w:val="22"/>
        </w:rPr>
        <w:t xml:space="preserve">6.  </w:t>
      </w:r>
      <w:r>
        <w:rPr>
          <w:rFonts w:ascii="Garamond" w:cs="Garamond" w:eastAsia="Garamond" w:hAnsi="Garamond"/>
          <w:b w:val="false"/>
          <w:bCs w:val="false"/>
          <w:i w:val="false"/>
          <w:iCs w:val="false"/>
          <w:color w:val="1A1A1A"/>
          <w:sz w:val="22"/>
          <w:szCs w:val="22"/>
        </w:rPr>
        <w:t xml:space="preserve">The reconsideration of value process: when the appraisal comes in below the contract price despite your preparation, do not accept the result as final. Request a formal reconsideration of value from the appraiser through the lender. The reconsideration request must be specific: identify the specific comparable the appraiser used that you believe was not appropriately adjusted, provide the specific alternative comparable you believe the appraiser should have used, and document the specific adjustment rationale that supports the contract price. The reconsideration process is used by fewer than 5% of listing agents in most markets. It overturns low appraisals in approximately 30-40% of cases where the request is specific, documented, and submitted with adequate comparable support.</w:t>
      </w:r>
    </w:p>
    <w:p>
      <w:pPr>
        <w:spacing w:before="90" w:after="70"/>
        <w:ind w:left="220"/>
      </w:pPr>
      <w:r>
        <w:rPr>
          <w:rFonts w:ascii="Garamond" w:cs="Garamond" w:eastAsia="Garamond" w:hAnsi="Garamond"/>
          <w:b/>
          <w:bCs/>
          <w:i w:val="false"/>
          <w:iCs w:val="false"/>
          <w:color w:val="C4A95A"/>
          <w:sz w:val="22"/>
          <w:szCs w:val="22"/>
        </w:rPr>
        <w:t xml:space="preserve">7.  </w:t>
      </w:r>
      <w:r>
        <w:rPr>
          <w:rFonts w:ascii="Garamond" w:cs="Garamond" w:eastAsia="Garamond" w:hAnsi="Garamond"/>
          <w:b w:val="false"/>
          <w:bCs w:val="false"/>
          <w:i w:val="false"/>
          <w:iCs w:val="false"/>
          <w:color w:val="1A1A1A"/>
          <w:sz w:val="22"/>
          <w:szCs w:val="22"/>
        </w:rPr>
        <w:t xml:space="preserve">The appraisal outcome tracking: after every transaction that involves an appraisal, record three data points. The prepared comparable range. The appraised value. The contract price. Over twenty appraisals, this data produces the calibration specific to your market between the appraisal package quality and the appraisal outcome. The calibration will demonstrate what the package achieves in your market and will allow you to communicate that value to sellers: "In my experience, providing this documentation to the appraiser reduces the frequency of appraisal gaps by approximately X% in this market." The specific claim is more credible than the general claim. The specific claim, backed by your own data, is more credible than anything.</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Same transaction. Same appraiser. Contract price $510,000. Different listing agent preparation.</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No appraisal package: Appraiser uses 4 MLS comparables. Two are divorce transactions at discount.</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1</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-2.0</w:t>
      </w:r>
      <w:r>
        <w:rPr>
          <w:rFonts w:ascii="Garamond" w:cs="Garamond" w:eastAsia="Garamond" w:hAnsi="Garamond"/>
          <w:b w:val="false"/>
          <w:bCs w:val="false"/>
          <w:i/>
          <w:iCs/>
          <w:color w:val="555555"/>
          <w:sz w:val="18"/>
          <w:szCs w:val="18"/>
        </w:rPr>
        <w:t xml:space="preserve">  — Appraisal result: $485,000. Gap: $25,000. Seller must reduce price or buyer must bring additional funds.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No package: Seller reduces price by $20,000. Transaction closes at $490,000.</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-4</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6</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-4.0</w:t>
      </w:r>
      <w:r>
        <w:rPr>
          <w:rFonts w:ascii="Garamond" w:cs="Garamond" w:eastAsia="Garamond" w:hAnsi="Garamond"/>
          <w:b w:val="false"/>
          <w:bCs w:val="false"/>
          <w:i/>
          <w:iCs/>
          <w:color w:val="555555"/>
          <w:sz w:val="18"/>
          <w:szCs w:val="18"/>
        </w:rPr>
        <w:t xml:space="preserve">  — Seller loses $20,000 they didn't need to lose. No understanding of why. No referral. Agent loses seller trust permanently.</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Appraisal package provided: Cover letter, renovation documentation, comparable analysis, negative comparable explanation.</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7</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9.0</w:t>
      </w:r>
      <w:r>
        <w:rPr>
          <w:rFonts w:ascii="Garamond" w:cs="Garamond" w:eastAsia="Garamond" w:hAnsi="Garamond"/>
          <w:b w:val="false"/>
          <w:bCs w:val="false"/>
          <w:i/>
          <w:iCs/>
          <w:color w:val="555555"/>
          <w:sz w:val="18"/>
          <w:szCs w:val="18"/>
        </w:rPr>
        <w:t xml:space="preserve">  — Appraiser reviews package before inspection. Two of the four original comparables are flagged as non-arms-length.</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Appraisal result with package: $508,000. Gap: $2,000. Transaction proceeds without price adjustment.</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9.5</w:t>
      </w:r>
      <w:r>
        <w:rPr>
          <w:rFonts w:ascii="Garamond" w:cs="Garamond" w:eastAsia="Garamond" w:hAnsi="Garamond"/>
          <w:b w:val="false"/>
          <w:bCs w:val="false"/>
          <w:i/>
          <w:iCs/>
          <w:color w:val="555555"/>
          <w:sz w:val="18"/>
          <w:szCs w:val="18"/>
        </w:rPr>
        <w:t xml:space="preserve">  — Agent explains the outcome to seller: "The package we prepared for the appraiser changed the result."</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Seller at close: understands specifically that the appraisal package preserved $20,000 in net proceeds.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10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11.0</w:t>
      </w:r>
      <w:r>
        <w:rPr>
          <w:rFonts w:ascii="Garamond" w:cs="Garamond" w:eastAsia="Garamond" w:hAnsi="Garamond"/>
          <w:b w:val="false"/>
          <w:bCs w:val="false"/>
          <w:i/>
          <w:iCs/>
          <w:color w:val="555555"/>
          <w:sz w:val="18"/>
          <w:szCs w:val="18"/>
        </w:rPr>
        <w:t xml:space="preserve">  — "No agent has ever explained what they did for us during the transaction. She literally showed us what she protected."</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1 compound: appraisal package practice on 18 listings. 4 appraisals protected.</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$80,000 in seller proceeds protected. 4 additional transactions that would otherwise have collapsed or reduced. $36,000 in additional GCI.</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In your last five transactions that involved an appraisal: how many included an appraisal package delivered to the appraiser before the inspection? For the ones that did not — what was the appraisal result, and what did the absence of the package cost the seller?</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Appraisal Package System</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Build the six-section template this week. Calibrate the closing cost estimates to your specific market using your last five actual closing statements. In the next listing appointment: ask the seller for all permit records and renovation invoices during the listing appointment. Put them in the package. Deliver the package to every appraiser assigned to every listing where the contract price is within 10% of the neighborhood ceiling. Track: appraisal results before and after implementing the practice. The correlation will be visible within five transactions. The data will make the behavior permanent.</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XII</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Market Memory</w:t>
      </w:r>
    </w:p>
    <w:p>
      <w:pPr>
        <w:spacing w:before="60" w:after="300"/>
        <w:jc w:val="left"/>
      </w:pPr>
      <w:r>
        <w:rPr>
          <w:rFonts w:ascii="Garamond" w:cs="Garamond" w:eastAsia="Garamond" w:hAnsi="Garamond"/>
          <w:b w:val="false"/>
          <w:bCs w:val="false"/>
          <w:i/>
          <w:iCs/>
          <w:color w:val="555555"/>
          <w:sz w:val="26"/>
          <w:szCs w:val="26"/>
        </w:rPr>
        <w:t xml:space="preserve">Every agent in your market is reading your MLS history. Your days on market, your list-to-sale ratios, your price reduction frequency, your fallen transaction rate — they have assembled a profile of you that determines whether they want to do business with you before you call them. The profile exists whether you have read it or not.</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Your professional reputation with other agents is worth more than your reputation with clients — because agents send you the clients you will never meet any other way. The professional reputation is being written in every transaction. The only question is what it is saying.</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There is a parallel economy in every real estate market that most agents never consciously engage with. It is not the consumer market — the buyers and sellers who find agents through referrals, reviews, and marketing. It is the professional market — the community of agents, brokers, title officers, lenders, and transaction professionals who have direct, specific, experience-based knowledge of what it is like to work with you on the other side of a transaction. This community has a memory that is longer, more specific, and more influential on business outcomes than the consumer market, and almost no agent manages it deliberately.</w:t>
      </w:r>
    </w:p>
    <w:p>
      <w:pPr>
        <w:spacing w:before="160" w:after="100"/>
        <w:jc w:val="both"/>
      </w:pPr>
      <w:r>
        <w:rPr>
          <w:rFonts w:ascii="Garamond" w:cs="Garamond" w:eastAsia="Garamond" w:hAnsi="Garamond"/>
          <w:b w:val="false"/>
          <w:bCs w:val="false"/>
          <w:i w:val="false"/>
          <w:iCs w:val="false"/>
          <w:color w:val="1A1A1A"/>
          <w:sz w:val="24"/>
          <w:szCs w:val="24"/>
        </w:rPr>
        <w:t xml:space="preserve">The professional market's memory is different from the consumer market's memory in three specific ways. First: it is experience-based rather than impression-based. The consumer client who refers you is reporting an impression of the relationship. The agent who cooperates with you is reporting the specific experience of what happened when the stakes were real and the pressure was present. Second: it is comprehensive rather than selective. The consumer client remembers the highlights. The cooperating agent remembers everything: the specific accuracy of your pricing, the specific quality of your communication under pressure, the specific way you handled the inspection negotiation, the specific moment when you were easy to work with or impossibly difficult. Third: it circulates continuously. The consumer referral network operates intermittently — when real estate comes up in conversation. The agent network operates daily — every time two agents who know each other's work see each other's names on offers, disclosures, and listing sheets.</w:t>
      </w:r>
    </w:p>
    <w:p>
      <w:pPr>
        <w:spacing w:before="160" w:after="100"/>
        <w:jc w:val="both"/>
      </w:pPr>
      <w:r>
        <w:rPr>
          <w:rFonts w:ascii="Garamond" w:cs="Garamond" w:eastAsia="Garamond" w:hAnsi="Garamond"/>
          <w:b w:val="false"/>
          <w:bCs w:val="false"/>
          <w:i w:val="false"/>
          <w:iCs w:val="false"/>
          <w:color w:val="1A1A1A"/>
          <w:sz w:val="24"/>
          <w:szCs w:val="24"/>
        </w:rPr>
        <w:t xml:space="preserve">The MLS is the permanent record of the professional reputation. The specific statistics that every agent can pull on every other agent with four minutes of MLS research: the list-to-sale price ratio (the ratio between the original list price and the final sale price, which is the most precise indicator of pricing accuracy available), the average days on market relative to the market average (which reveals whether listings are being priced appropriately), the price reduction frequency (the percentage of listings requiring at least one price reduction, which is the compound indicator of the combination of overpricing and pricing discipline failure), and the transaction fall-through rate (the percentage of contracts that go under contract but fail to close, which is the specific indicator of transaction management quality).</w:t>
      </w:r>
    </w:p>
    <w:p>
      <w:pPr>
        <w:spacing w:before="160" w:after="100"/>
        <w:jc w:val="both"/>
      </w:pPr>
      <w:r>
        <w:rPr>
          <w:rFonts w:ascii="Garamond" w:cs="Garamond" w:eastAsia="Garamond" w:hAnsi="Garamond"/>
          <w:b w:val="false"/>
          <w:bCs w:val="false"/>
          <w:i w:val="false"/>
          <w:iCs w:val="false"/>
          <w:color w:val="1A1A1A"/>
          <w:sz w:val="24"/>
          <w:szCs w:val="24"/>
        </w:rPr>
        <w:t xml:space="preserve">The agent whose MLS statistics tell a story of consistent overpricing — whose DOM runs 50% above market average, whose list-to-sale ratio is 88% when the market average is 95%, whose price reduction rate is 65% when the market average is 25% — is broadcasting a specific message to every agent in the market: working with me is difficult and my clients have unrealistic expectations. This message is not stated. It does not need to be. The data says it. Every cooperating agent who has seen the statistics or experienced the transactions adjusts their behavior accordingly: they are slightly less enthusiastic about getting their buyers into the listings, slightly less flexible in the inspection negotiations, slightly less motivated to find creative solutions when the transaction hits a problem.</w:t>
      </w:r>
    </w:p>
    <w:p>
      <w:pPr>
        <w:spacing w:before="160" w:after="100"/>
        <w:jc w:val="both"/>
      </w:pPr>
      <w:r>
        <w:rPr>
          <w:rFonts w:ascii="Garamond" w:cs="Garamond" w:eastAsia="Garamond" w:hAnsi="Garamond"/>
          <w:b w:val="false"/>
          <w:bCs w:val="false"/>
          <w:i w:val="false"/>
          <w:iCs w:val="false"/>
          <w:color w:val="1A1A1A"/>
          <w:sz w:val="24"/>
          <w:szCs w:val="24"/>
        </w:rPr>
        <w:t xml:space="preserve">The agent whose MLS statistics tell a story of professional precision — whose DOM is at or below market average, whose list-to-sale ratio is consistently in the top quartile, whose price reduction rate reflects accurate original pricing, whose transaction fall-through rate is minimal — is broadcasting the professional message that produces the cooperative behavior that produces the better transaction outcomes: the cooperating agent who is slightly more accommodating, the lender who is slightly more creative, the title officer who is slightly more flexible on timeline. These micro-advantages do not appear on any income statement. They appear in the aggregate as higher transaction completion rates and higher net proceeds for the agent's clients.</w:t>
      </w:r>
    </w:p>
    <w:p>
      <w:pPr>
        <w:spacing w:before="160" w:after="100"/>
        <w:jc w:val="both"/>
      </w:pPr>
      <w:r>
        <w:rPr>
          <w:rFonts w:ascii="Garamond" w:cs="Garamond" w:eastAsia="Garamond" w:hAnsi="Garamond"/>
          <w:b w:val="false"/>
          <w:bCs w:val="false"/>
          <w:i w:val="false"/>
          <w:iCs w:val="false"/>
          <w:color w:val="1A1A1A"/>
          <w:sz w:val="24"/>
          <w:szCs w:val="24"/>
        </w:rPr>
        <w:t xml:space="preserve">The professional reputation is built in the transactions that are easy and revealed in the transactions that are hard. The easy transaction is where the baseline is established. The hard transaction is where the reputation is earned or forfeited. The agent who handles a collapsed transaction with professionalism — who communicates clearly when the deal is falling apart, who treats the other agent as a partner in problem-solving rather than an adversary to be managed, who maintains professional standards even when the commission is at risk — is building a professional reputation that no smooth transaction could have built. The other agent in that difficult transaction will remember how you handled it. The memory will manifest in every subsequent interaction, in every subsequent transaction, for the duration of the career.</w:t>
      </w:r>
    </w:p>
    <w:p>
      <w:pPr>
        <w:spacing w:before="160" w:after="100"/>
        <w:jc w:val="both"/>
      </w:pPr>
      <w:r>
        <w:rPr>
          <w:rFonts w:ascii="Garamond" w:cs="Garamond" w:eastAsia="Garamond" w:hAnsi="Garamond"/>
          <w:b w:val="false"/>
          <w:bCs w:val="false"/>
          <w:i w:val="false"/>
          <w:iCs w:val="false"/>
          <w:color w:val="1A1A1A"/>
          <w:sz w:val="24"/>
          <w:szCs w:val="24"/>
        </w:rPr>
        <w:t xml:space="preserve">The compound of the professional reputation across a career: the agent with the strong professional reputation receives, without ever asking for it, the specific forms of preferential treatment that produce incrementally better outcomes in every transaction. The offer that gets a call before the formal response. The inspection negotiation that resolves with a phone conversation rather than three days of formal addendum exchange. The lender who makes the extra call. The title company that accommodates the unusual closing schedule. None of these advantages are visible in any single transaction. They are visible across twenty transactions as a consistent pattern of smoother processes, higher completion rates, and better client outcomes. The agent with the strong professional reputation serves their clients better — not because their skills are better, but because the professional ecosystem responds to them differently.</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Run the Professional Reputation Audit on yourself today. Pull your own MLS statistics for the last 24 months. Four specific metrics: (1) Your list-to-sale price ratio versus the market average for your price range. If yours is more than 3% below market average, other agents can see you are consistently overpricing. (2) Your average days on market versus market average. If yours is more than 30% above market average, the story is the same. (3) Your price reduction rate versus market average. Industry benchmark: anything above 35% signals systematic overpricing at listing. (4) Your fallen transaction rate. If more than 15% of your contracts fail to close, other agents who track this number are treating your listings and your offers with additional scrutiny.</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Address every weak metric at its root cause, not at its surface. DOM above average and price reduction rate above average both have the same root cause: you are telling sellers what they want to hear rather than what the market will produce. The solution is not better marketing or more showings. The solution is pricing accuracy at the listing appointment, executed with the courage that the surplus position (Estate I) provides and the honest CMA methodology (Estate XXVIII) supports. The agent who addresses the root cause sees the statistics move within six months. The agent who addresses the symptoms sees them remain flat.</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The professional relationship investment: once per month, write a genuine note to one cooperating agent you have transacted with in the last quarter. Not a form letter. A specific acknowledgment: "The way you managed the inspection negotiation on [address] last month was exactly right for the situation — I thought your approach protected both clients appropriately and I appreciated the professionalism." This costs four minutes. It produces a professional relationship deposit that compounds across the career. The agent who receives genuine, specific acknowledgment from a cooperating agent does not forget it.</w:t>
      </w:r>
    </w:p>
    <w:p>
      <w:pPr>
        <w:spacing w:before="90" w:after="70"/>
        <w:ind w:left="220"/>
      </w:pPr>
      <w:r>
        <w:rPr>
          <w:rFonts w:ascii="Garamond" w:cs="Garamond" w:eastAsia="Garamond" w:hAnsi="Garamond"/>
          <w:b/>
          <w:bCs/>
          <w:i w:val="false"/>
          <w:iCs w:val="false"/>
          <w:color w:val="C4A95A"/>
          <w:sz w:val="22"/>
          <w:szCs w:val="22"/>
        </w:rPr>
        <w:t xml:space="preserve">4.  </w:t>
      </w:r>
      <w:r>
        <w:rPr>
          <w:rFonts w:ascii="Garamond" w:cs="Garamond" w:eastAsia="Garamond" w:hAnsi="Garamond"/>
          <w:b w:val="false"/>
          <w:bCs w:val="false"/>
          <w:i w:val="false"/>
          <w:iCs w:val="false"/>
          <w:color w:val="1A1A1A"/>
          <w:sz w:val="22"/>
          <w:szCs w:val="22"/>
        </w:rPr>
        <w:t xml:space="preserve">The difficult transaction protocol: when a transaction is going badly — when the inspection is catastrophic, the appraisal is low, the lender has a problem, the parties are in conflict — communicate proactively rather than reactively. Call the other agent before they call you. Share information you are not required to share when sharing it serves the transaction. Treat the other agent as a partner whose client's interest and your client's interest are fundamentally aligned (both want the transaction to close at fair terms) rather than as an adversary whose client is your client's competitor. The agent who behaves this way in difficult transactions is building a professional reputation in the exact moment when the reputation is most visible.</w:t>
      </w:r>
    </w:p>
    <w:p>
      <w:pPr>
        <w:spacing w:before="90" w:after="70"/>
        <w:ind w:left="220"/>
      </w:pPr>
      <w:r>
        <w:rPr>
          <w:rFonts w:ascii="Garamond" w:cs="Garamond" w:eastAsia="Garamond" w:hAnsi="Garamond"/>
          <w:b/>
          <w:bCs/>
          <w:i w:val="false"/>
          <w:iCs w:val="false"/>
          <w:color w:val="C4A95A"/>
          <w:sz w:val="22"/>
          <w:szCs w:val="22"/>
        </w:rPr>
        <w:t xml:space="preserve">5.  </w:t>
      </w:r>
      <w:r>
        <w:rPr>
          <w:rFonts w:ascii="Garamond" w:cs="Garamond" w:eastAsia="Garamond" w:hAnsi="Garamond"/>
          <w:b w:val="false"/>
          <w:bCs w:val="false"/>
          <w:i w:val="false"/>
          <w:iCs w:val="false"/>
          <w:color w:val="1A1A1A"/>
          <w:sz w:val="22"/>
          <w:szCs w:val="22"/>
        </w:rPr>
        <w:t xml:space="preserve">The MLS presentation of your listings: the quality of your listing presentations — the photography, the description writing, the accurate data entry, the complete disclosure documentation — is read by every cooperating agent who reviews your listings. The agent who consistently provides well-prepared, well-presented listings is communicating professional standards before the first conversation. The agent whose listings are consistently underphotographed, poorly described, and incompletely documented is communicating the same thing in reverse.</w:t>
      </w:r>
    </w:p>
    <w:p>
      <w:pPr>
        <w:spacing w:before="90" w:after="70"/>
        <w:ind w:left="220"/>
      </w:pPr>
      <w:r>
        <w:rPr>
          <w:rFonts w:ascii="Garamond" w:cs="Garamond" w:eastAsia="Garamond" w:hAnsi="Garamond"/>
          <w:b/>
          <w:bCs/>
          <w:i w:val="false"/>
          <w:iCs w:val="false"/>
          <w:color w:val="C4A95A"/>
          <w:sz w:val="22"/>
          <w:szCs w:val="22"/>
        </w:rPr>
        <w:t xml:space="preserve">6.  </w:t>
      </w:r>
      <w:r>
        <w:rPr>
          <w:rFonts w:ascii="Garamond" w:cs="Garamond" w:eastAsia="Garamond" w:hAnsi="Garamond"/>
          <w:b w:val="false"/>
          <w:bCs w:val="false"/>
          <w:i w:val="false"/>
          <w:iCs w:val="false"/>
          <w:color w:val="1A1A1A"/>
          <w:sz w:val="22"/>
          <w:szCs w:val="22"/>
        </w:rPr>
        <w:t xml:space="preserve">The offer presentation: when you submit an offer for a buyer, the quality of the offer package communicates your professional standards to the listing agent. The clean offer, the pre-approval letter from a credible lender, the specific and appropriate contingency structure, the professional cover letter introducing your buyer — these elements are the professional introduction before any conversation occurs. The offer package that is disorganized, that uses an untested lender's pre-approval, that has contingency language that creates problems rather than protecting the buyer, is communicating a professional standard that the listing agent will remember in every subsequent interaction.</w:t>
      </w:r>
    </w:p>
    <w:p>
      <w:pPr>
        <w:spacing w:before="90" w:after="70"/>
        <w:ind w:left="220"/>
      </w:pPr>
      <w:r>
        <w:rPr>
          <w:rFonts w:ascii="Garamond" w:cs="Garamond" w:eastAsia="Garamond" w:hAnsi="Garamond"/>
          <w:b/>
          <w:bCs/>
          <w:i w:val="false"/>
          <w:iCs w:val="false"/>
          <w:color w:val="C4A95A"/>
          <w:sz w:val="22"/>
          <w:szCs w:val="22"/>
        </w:rPr>
        <w:t xml:space="preserve">7.  </w:t>
      </w:r>
      <w:r>
        <w:rPr>
          <w:rFonts w:ascii="Garamond" w:cs="Garamond" w:eastAsia="Garamond" w:hAnsi="Garamond"/>
          <w:b w:val="false"/>
          <w:bCs w:val="false"/>
          <w:i w:val="false"/>
          <w:iCs w:val="false"/>
          <w:color w:val="1A1A1A"/>
          <w:sz w:val="22"/>
          <w:szCs w:val="22"/>
        </w:rPr>
        <w:t xml:space="preserve">Track the professional reputation metrics quarterly. Not annually — quarterly. The metrics that are moving in the wrong direction require quarterly intervention to reverse within a reasonable timeframe. The metrics that are improving quarterly are compounding in the right direction. Quarterly tracking converts the reputation from a lagging indicator that you discover at the year-end into a leading indicator that you manage in real time.</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Agent A and Agent B. Same volume. Same market. Different professional reputations. Three years.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A: L/S ratio 96%, DOM at market average, price reduction rate 18%, fall-through rate 8%.</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10.0</w:t>
      </w:r>
      <w:r>
        <w:rPr>
          <w:rFonts w:ascii="Garamond" w:cs="Garamond" w:eastAsia="Garamond" w:hAnsi="Garamond"/>
          <w:b w:val="false"/>
          <w:bCs w:val="false"/>
          <w:i/>
          <w:iCs/>
          <w:color w:val="555555"/>
          <w:sz w:val="18"/>
          <w:szCs w:val="18"/>
        </w:rPr>
        <w:t xml:space="preserve">  — Professional market reads: accurate, reliable, easy to work with. Receives preferential treatment in every transaction.</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B: L/S ratio 87%, DOM 55% above average, price reduction rate 62%, fall-through rate 22%.</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-4</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-5.0</w:t>
      </w:r>
      <w:r>
        <w:rPr>
          <w:rFonts w:ascii="Garamond" w:cs="Garamond" w:eastAsia="Garamond" w:hAnsi="Garamond"/>
          <w:b w:val="false"/>
          <w:bCs w:val="false"/>
          <w:i/>
          <w:iCs/>
          <w:color w:val="555555"/>
          <w:sz w:val="18"/>
          <w:szCs w:val="18"/>
        </w:rPr>
        <w:t xml:space="preserve">  — Professional market reads: overprices, difficult, unreliable. Receives adversarial treatment in every transaction.</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1: Agent A receives 4 cooperative agent referrals that Agent B does not receive.</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9.5</w:t>
      </w:r>
      <w:r>
        <w:rPr>
          <w:rFonts w:ascii="Garamond" w:cs="Garamond" w:eastAsia="Garamond" w:hAnsi="Garamond"/>
          <w:b w:val="false"/>
          <w:bCs w:val="false"/>
          <w:i/>
          <w:iCs/>
          <w:color w:val="555555"/>
          <w:sz w:val="18"/>
          <w:szCs w:val="18"/>
        </w:rPr>
        <w:t xml:space="preserve">  — These referrals come because cooperating agents actively seek to work with Agent A based on prior transaction experience.</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1: Agent B loses 3 transactions at the inspection stage that would have closed with Agent A's reputation.</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-5</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-5.5</w:t>
      </w:r>
      <w:r>
        <w:rPr>
          <w:rFonts w:ascii="Garamond" w:cs="Garamond" w:eastAsia="Garamond" w:hAnsi="Garamond"/>
          <w:b w:val="false"/>
          <w:bCs w:val="false"/>
          <w:i/>
          <w:iCs/>
          <w:color w:val="555555"/>
          <w:sz w:val="18"/>
          <w:szCs w:val="18"/>
        </w:rPr>
        <w:t xml:space="preserve">  — The difficult negotiation reputation makes the other party less flexible in precisely the moments when flexibility matters.</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3: Agent A professional market share — percentage of transactions where cooperating agents actively prefer to work with them.</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Agent A: 34% of cooperating agents in their market actively seek to represent buyers into their listings. No equivalent metric for Agent B.</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3 revenue comparison.</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Agent A: $268,000 GCI. Agent B: $187,000 GCI. Identical transaction volume. The professional reputation difference is $81,000 annually.</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Pull your own MLS statistics for the last 24 months right now. What does the list-to-sale ratio say? What does the DOM say relative to market average? What does the price reduction rate say? What is the professional market reading about you from those numbers — and is the reading accurate?</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Professional Reputation Practice</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Run the four-metric audit this week. Pull your own MLS data. Compare each metric to market average for your price range. Identify the weakest metric. Design the specific practice change that addresses its root cause. Set a six-month target for the metric. Then: once per month, write one genuine acknowledgment note to one cooperating agent. Once per quarter, review the metrics. Once per difficult transaction, apply the difficult transaction protocol — proactive communication, partner rather than adversary framing, professional standards regardless of commission risk. The professional reputation compound is slow. It is also permanent. And it produces returns for the duration of the career.</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80"/>
        <w:jc w:val="center"/>
      </w:pPr>
      <w:r>
        <w:rPr>
          <w:rFonts w:ascii="Garamond" w:cs="Garamond" w:eastAsia="Garamond" w:hAnsi="Garamond"/>
          <w:b/>
          <w:bCs/>
          <w:i w:val="false"/>
          <w:iCs w:val="false"/>
          <w:color w:val="C4A95A"/>
          <w:sz w:val="52"/>
          <w:szCs w:val="52"/>
        </w:rPr>
        <w:t xml:space="preserve">BOOK III</w:t>
      </w:r>
    </w:p>
    <w:p>
      <w:pPr>
        <w:spacing w:before="0" w:after="100"/>
        <w:jc w:val="center"/>
      </w:pPr>
      <w:r>
        <w:rPr>
          <w:rFonts w:ascii="Garamond" w:cs="Garamond" w:eastAsia="Garamond" w:hAnsi="Garamond"/>
          <w:b/>
          <w:bCs/>
          <w:i w:val="false"/>
          <w:iCs w:val="false"/>
          <w:color w:val="0A0A0A"/>
          <w:sz w:val="52"/>
          <w:szCs w:val="52"/>
        </w:rPr>
        <w:t xml:space="preserve">THE ESTATE OF THE ROOMS</w:t>
      </w:r>
    </w:p>
    <w:p>
      <w:pPr>
        <w:pBdr>
          <w:bottom w:val="single" w:color="C4A95A" w:sz="6" w:space="8"/>
        </w:pBdr>
        <w:spacing w:before="0" w:after="200"/>
        <w:jc w:val="center"/>
      </w:pPr>
      <w:r>
        <w:rPr>
          <w:rFonts w:ascii="Garamond" w:cs="Garamond" w:eastAsia="Garamond" w:hAnsi="Garamond"/>
          <w:b w:val="false"/>
          <w:bCs w:val="false"/>
          <w:i/>
          <w:iCs/>
          <w:color w:val="555555"/>
          <w:sz w:val="28"/>
          <w:szCs w:val="28"/>
        </w:rPr>
        <w:t xml:space="preserve">The open house. The price conversation. The transaction that never hits the MLS.</w:t>
      </w:r>
    </w:p>
    <w:p>
      <w:pPr>
        <w:spacing w:before="160" w:after="100"/>
        <w:jc w:val="both"/>
      </w:pPr>
      <w:r>
        <w:rPr>
          <w:rFonts w:ascii="Garamond" w:cs="Garamond" w:eastAsia="Garamond" w:hAnsi="Garamond"/>
          <w:b w:val="false"/>
          <w:bCs w:val="false"/>
          <w:i w:val="false"/>
          <w:iCs w:val="false"/>
          <w:color w:val="1A1A1A"/>
          <w:sz w:val="24"/>
          <w:szCs w:val="24"/>
        </w:rPr>
        <w:t xml:space="preserve">The rooms of a property are not where people shop for houses. They are where people negotiate the story they tell themselves about whether they are ready. The agent who understands this is not showing a house. They are facilitating a decision. The open house is not a marketing event. The price reduction is not a defeat. The off-market transaction is not a favor. Each is a specific operational environment with its own doctrine. Learn the doctrine. The rooms will produce differently.</w:t>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XIII</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Open House Doctrine</w:t>
      </w:r>
    </w:p>
    <w:p>
      <w:pPr>
        <w:spacing w:before="60" w:after="300"/>
        <w:jc w:val="left"/>
      </w:pPr>
      <w:r>
        <w:rPr>
          <w:rFonts w:ascii="Garamond" w:cs="Garamond" w:eastAsia="Garamond" w:hAnsi="Garamond"/>
          <w:b w:val="false"/>
          <w:bCs w:val="false"/>
          <w:i/>
          <w:iCs/>
          <w:color w:val="555555"/>
          <w:sz w:val="26"/>
          <w:szCs w:val="26"/>
        </w:rPr>
        <w:t xml:space="preserve">The open house is the most misunderstood tool in residential real estate. Agents run them to sell the listing. The listing almost never sells at the open house. The agents who run open houses correctly are not trying to sell the listing. They are building a buyer pipeline that will sell every other listing they will ever have.</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open house is a pipeline instrument disguised as a marketing event. The agent who understands this wins three transactions from every open house they run. The agent who misunderstands this wins zero and wonders why they keep running them.</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The open house has a documented failure rate as a listing tool that should have eliminated the practice decades ago. Studies of MLS transaction data consistently show that fewer than 3% of homes sell as a direct result of the open house — where the buyer who purchases the property first encountered it at an open house rather than through a private showing or digital search. This number has been known in the industry for years. It does not change the behavior of agents who run open houses, which means either they do not know the number or they are running the open house for a different reason.</w:t>
      </w:r>
    </w:p>
    <w:p>
      <w:pPr>
        <w:spacing w:before="160" w:after="100"/>
        <w:jc w:val="both"/>
      </w:pPr>
      <w:r>
        <w:rPr>
          <w:rFonts w:ascii="Garamond" w:cs="Garamond" w:eastAsia="Garamond" w:hAnsi="Garamond"/>
          <w:b w:val="false"/>
          <w:bCs w:val="false"/>
          <w:i w:val="false"/>
          <w:iCs w:val="false"/>
          <w:color w:val="1A1A1A"/>
          <w:sz w:val="24"/>
          <w:szCs w:val="24"/>
        </w:rPr>
        <w:t xml:space="preserve">The agents who run open houses for the right reason — and who measure the right outcome — know something the 3% statistic obscures: the open house is not primarily a tool for selling the specific listing. It is a tool for meeting buyers who are actively searching in a specific price range and neighborhood at the exact moment of their peak interest. These buyers will purchase something. The agent who meets them at the open house and serves them well will represent them in that purchase — whether it is the open house property or a different property entirely.</w:t>
      </w:r>
    </w:p>
    <w:p>
      <w:pPr>
        <w:spacing w:before="160" w:after="100"/>
        <w:jc w:val="both"/>
      </w:pPr>
      <w:r>
        <w:rPr>
          <w:rFonts w:ascii="Garamond" w:cs="Garamond" w:eastAsia="Garamond" w:hAnsi="Garamond"/>
          <w:b w:val="false"/>
          <w:bCs w:val="false"/>
          <w:i w:val="false"/>
          <w:iCs w:val="false"/>
          <w:color w:val="1A1A1A"/>
          <w:sz w:val="24"/>
          <w:szCs w:val="24"/>
        </w:rPr>
        <w:t xml:space="preserve">The population of people who attend open houses is the highest-quality unrepresented buyer population available in any market. They are physically present at a property in the neighborhood where they want to live, in the price range they are genuinely considering, on a weekend when they have chosen to allocate discretionary time to property search. They are, in the specific language of the PLT framework, expressing Love for the activity — which means their motivation is genuine. They are not tire-kickers browsing Zillow from a couch. They are people who got in a car and drove to a house.</w:t>
      </w:r>
    </w:p>
    <w:p>
      <w:pPr>
        <w:spacing w:before="160" w:after="100"/>
        <w:jc w:val="both"/>
      </w:pPr>
      <w:r>
        <w:rPr>
          <w:rFonts w:ascii="Garamond" w:cs="Garamond" w:eastAsia="Garamond" w:hAnsi="Garamond"/>
          <w:b w:val="false"/>
          <w:bCs w:val="false"/>
          <w:i w:val="false"/>
          <w:iCs w:val="false"/>
          <w:color w:val="1A1A1A"/>
          <w:sz w:val="24"/>
          <w:szCs w:val="24"/>
        </w:rPr>
        <w:t xml:space="preserve">The standard agent running an open house treats it as a passive marketing event: they unlock the door, put out the sign-in sheet, stand in the kitchen, and answer questions about the property. The agent following this approach is using an active prospecting opportunity as a passive display event. The visitors who cycle through the property receive a showing experience. They do not receive the one thing that would convert the interaction from a property visit into a professional relationship: the feeling of being genuinely understood by a professional who could help them.</w:t>
      </w:r>
    </w:p>
    <w:p>
      <w:pPr>
        <w:spacing w:before="160" w:after="100"/>
        <w:jc w:val="both"/>
      </w:pPr>
      <w:r>
        <w:rPr>
          <w:rFonts w:ascii="Garamond" w:cs="Garamond" w:eastAsia="Garamond" w:hAnsi="Garamond"/>
          <w:b w:val="false"/>
          <w:bCs w:val="false"/>
          <w:i w:val="false"/>
          <w:iCs w:val="false"/>
          <w:color w:val="1A1A1A"/>
          <w:sz w:val="24"/>
          <w:szCs w:val="24"/>
        </w:rPr>
        <w:t xml:space="preserve">The open house doctrine begins with a reorientation of purpose. You are not there to sell this house today. You are there to meet three people who will buy a house in the next ninety days and to earn the right to represent them. Three people. Not fifty. Not everyone who walks through. Three. In most open houses in most markets, approximately three to five visitors have genuine purchase intent within ninety days. The rest are neighbors, browsers, and the genuinely curious. The doctrine is to identify the three and concentrate every resource on them.</w:t>
      </w:r>
    </w:p>
    <w:p>
      <w:pPr>
        <w:spacing w:before="160" w:after="100"/>
        <w:jc w:val="both"/>
      </w:pPr>
      <w:r>
        <w:rPr>
          <w:rFonts w:ascii="Garamond" w:cs="Garamond" w:eastAsia="Garamond" w:hAnsi="Garamond"/>
          <w:b w:val="false"/>
          <w:bCs w:val="false"/>
          <w:i w:val="false"/>
          <w:iCs w:val="false"/>
          <w:color w:val="1A1A1A"/>
          <w:sz w:val="24"/>
          <w:szCs w:val="24"/>
        </w:rPr>
        <w:t xml:space="preserve">The identification of serious buyer intent is both an art and a specific set of observable signals. The serious buyer asks specific questions about room dimensions — not because they are measuring furniture, but because they are mentally placing their life in the space. They spend time in the yard or on the balcony, measuring the outdoor space against a specific future they are constructing. They ask about the neighbors, the noise, the specific quality of life in the neighborhood. They do not ask about the listing history or the seller's motivation — those are the questions of a browser. They ask about the specific experience of living there. They are not shopping for a property. They are auditioning a life.</w:t>
      </w:r>
    </w:p>
    <w:p>
      <w:pPr>
        <w:spacing w:before="160" w:after="100"/>
        <w:jc w:val="both"/>
      </w:pPr>
      <w:r>
        <w:rPr>
          <w:rFonts w:ascii="Garamond" w:cs="Garamond" w:eastAsia="Garamond" w:hAnsi="Garamond"/>
          <w:b w:val="false"/>
          <w:bCs w:val="false"/>
          <w:i w:val="false"/>
          <w:iCs w:val="false"/>
          <w:color w:val="1A1A1A"/>
          <w:sz w:val="24"/>
          <w:szCs w:val="24"/>
        </w:rPr>
        <w:t xml:space="preserve">The follow-up discipline is the element that separates the agents who build pipelines from open houses from the agents who run events. The visitor who attended the open house is not thinking about you twenty-four hours later. They are thinking about the property — whether it was right, why it wasn't quite right, what they would change. The call that arrives within twenty-four hours from the agent who says "I wanted to check in specifically — not to push you toward the property, but to understand what you're actually looking for after seeing it" is not a follow-up call. It is the first genuine professional conversation. The response rate to this specific framing is significantly higher than the standard follow-up call because it demonstrates that the purpose of the call is the buyer's clarity, not the agent's sale.</w:t>
      </w:r>
    </w:p>
    <w:p>
      <w:pPr>
        <w:spacing w:before="160" w:after="100"/>
        <w:jc w:val="both"/>
      </w:pPr>
      <w:r>
        <w:rPr>
          <w:rFonts w:ascii="Garamond" w:cs="Garamond" w:eastAsia="Garamond" w:hAnsi="Garamond"/>
          <w:b w:val="false"/>
          <w:bCs w:val="false"/>
          <w:i w:val="false"/>
          <w:iCs w:val="false"/>
          <w:color w:val="1A1A1A"/>
          <w:sz w:val="24"/>
          <w:szCs w:val="24"/>
        </w:rPr>
        <w:t xml:space="preserve">The compound of the open house practice over three years: the agent who runs four open houses per month and converts two serious buyers per open house into represented buyer relationships is building a pipeline of ninety-six new buyer relationships per year, entirely from open houses. At a 40% conversion rate from serious buyer relationship to closed transaction within twelve months — a reasonable estimate based on the eighteen-month average buyer journey — this practice produces approximately thirty-eight additional buyer transactions per year from open houses alone. The agent who understands the open house is not running an event. They are operating the most productive prospecting channel in residential real estate.</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Arrive at the open house thirty minutes before opening. Walk every room. Know the answer to every question a serious buyer will ask: the age of the roof, the age of the HVAC, the specific utility costs from the seller's disclosure, the HOA details if applicable, the specific school assignments for the property address, the nearest grocery, the commute time to the three largest employers in the area. The visitor who asks a question you cannot answer does not experience professional incompetence. They experience irrelevance — a more damaging signal. Prepare completely.</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The sign-in protocol: ask every visitor to sign in before the property tour. The standard sign-in sheet produces name and email. The improved sign-in protocol produces name, phone number, email, and one specific question: "What are you looking for that you haven't found yet?" This question, placed on the sign-in sheet as a single line to complete, tells you more about the serious buyer's search than twenty minutes of conversation. The answer is the entry point for the follow-up call.</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The first ninety seconds with every visitor: do not launch into the property tour immediately. Ask one question first: "Have you been looking for a while or are you fairly new to the search?" This question identifies where the visitor is in their decision process and tells you whether you are talking to a buyer who is ready to purchase or a buyer who is two months from being ready. Both are valuable. The response determines how you spend the next fifteen minutes.</w:t>
      </w:r>
    </w:p>
    <w:p>
      <w:pPr>
        <w:spacing w:before="90" w:after="70"/>
        <w:ind w:left="220"/>
      </w:pPr>
      <w:r>
        <w:rPr>
          <w:rFonts w:ascii="Garamond" w:cs="Garamond" w:eastAsia="Garamond" w:hAnsi="Garamond"/>
          <w:b/>
          <w:bCs/>
          <w:i w:val="false"/>
          <w:iCs w:val="false"/>
          <w:color w:val="C4A95A"/>
          <w:sz w:val="22"/>
          <w:szCs w:val="22"/>
        </w:rPr>
        <w:t xml:space="preserve">4.  </w:t>
      </w:r>
      <w:r>
        <w:rPr>
          <w:rFonts w:ascii="Garamond" w:cs="Garamond" w:eastAsia="Garamond" w:hAnsi="Garamond"/>
          <w:b w:val="false"/>
          <w:bCs w:val="false"/>
          <w:i w:val="false"/>
          <w:iCs w:val="false"/>
          <w:color w:val="1A1A1A"/>
          <w:sz w:val="22"/>
          <w:szCs w:val="22"/>
        </w:rPr>
        <w:t xml:space="preserve">The serious buyer identification: within the first five minutes of any visitor's time in the property, you will know whether they have purchase intent. The signals are specific: the measurements, the life questions, the emotional register of their response to the spaces. When you identify the serious buyer, shift your entire attention to them. The casual visitors can self-tour. The serious buyer deserves professional engagement.</w:t>
      </w:r>
    </w:p>
    <w:p>
      <w:pPr>
        <w:spacing w:before="90" w:after="70"/>
        <w:ind w:left="220"/>
      </w:pPr>
      <w:r>
        <w:rPr>
          <w:rFonts w:ascii="Garamond" w:cs="Garamond" w:eastAsia="Garamond" w:hAnsi="Garamond"/>
          <w:b/>
          <w:bCs/>
          <w:i w:val="false"/>
          <w:iCs w:val="false"/>
          <w:color w:val="C4A95A"/>
          <w:sz w:val="22"/>
          <w:szCs w:val="22"/>
        </w:rPr>
        <w:t xml:space="preserve">5.  </w:t>
      </w:r>
      <w:r>
        <w:rPr>
          <w:rFonts w:ascii="Garamond" w:cs="Garamond" w:eastAsia="Garamond" w:hAnsi="Garamond"/>
          <w:b w:val="false"/>
          <w:bCs w:val="false"/>
          <w:i w:val="false"/>
          <w:iCs w:val="false"/>
          <w:color w:val="1A1A1A"/>
          <w:sz w:val="22"/>
          <w:szCs w:val="22"/>
        </w:rPr>
        <w:t xml:space="preserve">The genuine conversation with the serious buyer: ask the question that no other agent is asking in any open house they visit: "Tell me about the specific thing that has been hardest about this search so far." This question produces the answer that every buyer has been waiting to give — the specific obstacle, the specific frustration, the specific piece of the puzzle that has been missing. The buyer who is given the space to answer this question is no longer visiting an open house. They are in a professional consultation with an agent who has already demonstrated more genuine interest in their situation than any agent they have encountered.</w:t>
      </w:r>
    </w:p>
    <w:p>
      <w:pPr>
        <w:spacing w:before="90" w:after="70"/>
        <w:ind w:left="220"/>
      </w:pPr>
      <w:r>
        <w:rPr>
          <w:rFonts w:ascii="Garamond" w:cs="Garamond" w:eastAsia="Garamond" w:hAnsi="Garamond"/>
          <w:b/>
          <w:bCs/>
          <w:i w:val="false"/>
          <w:iCs w:val="false"/>
          <w:color w:val="C4A95A"/>
          <w:sz w:val="22"/>
          <w:szCs w:val="22"/>
        </w:rPr>
        <w:t xml:space="preserve">6.  </w:t>
      </w:r>
      <w:r>
        <w:rPr>
          <w:rFonts w:ascii="Garamond" w:cs="Garamond" w:eastAsia="Garamond" w:hAnsi="Garamond"/>
          <w:b w:val="false"/>
          <w:bCs w:val="false"/>
          <w:i w:val="false"/>
          <w:iCs w:val="false"/>
          <w:color w:val="1A1A1A"/>
          <w:sz w:val="22"/>
          <w:szCs w:val="22"/>
        </w:rPr>
        <w:t xml:space="preserve">The same-day follow-up for serious buyers: within four hours of the open house closing, call or text every visitor you identified as having serious purchase intent. The message: "I had a follow-up question after our conversation today — you mentioned [the specific thing they said]. Are you available for a five-minute call?" The specificity of the follow-up demonstrates that you were genuinely paying attention rather than running a form protocol. The response rate to specific follow-up is dramatically higher than the response rate to generic follow-up.</w:t>
      </w:r>
    </w:p>
    <w:p>
      <w:pPr>
        <w:spacing w:before="90" w:after="70"/>
        <w:ind w:left="220"/>
      </w:pPr>
      <w:r>
        <w:rPr>
          <w:rFonts w:ascii="Garamond" w:cs="Garamond" w:eastAsia="Garamond" w:hAnsi="Garamond"/>
          <w:b/>
          <w:bCs/>
          <w:i w:val="false"/>
          <w:iCs w:val="false"/>
          <w:color w:val="C4A95A"/>
          <w:sz w:val="22"/>
          <w:szCs w:val="22"/>
        </w:rPr>
        <w:t xml:space="preserve">7.  </w:t>
      </w:r>
      <w:r>
        <w:rPr>
          <w:rFonts w:ascii="Garamond" w:cs="Garamond" w:eastAsia="Garamond" w:hAnsi="Garamond"/>
          <w:b w:val="false"/>
          <w:bCs w:val="false"/>
          <w:i w:val="false"/>
          <w:iCs w:val="false"/>
          <w:color w:val="1A1A1A"/>
          <w:sz w:val="22"/>
          <w:szCs w:val="22"/>
        </w:rPr>
        <w:t xml:space="preserve">The open house pipeline tracker: maintain a spreadsheet of every visitor with purchase intent from every open house. Track: the date, the property, their stated search criteria, the status of their purchase — active, under contract, closed, withdrawn. Review this tracker weekly. The active buyers need regular contact. The "withdrawn" buyers — who stopped searching — need a check-in call three months after withdrawal. Life changes. Searches resume. The agent who maintains the relationship through the withdrawal is the agent they call when it resumes.</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Agent A runs open houses as listing marketing. Agent B runs them as pipeline building. Same number of open houses monthly. Two years.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A metric: listings sold at open house vs not.</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1</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6</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w:t>
      </w:r>
      <w:r>
        <w:rPr>
          <w:rFonts w:ascii="Garamond" w:cs="Garamond" w:eastAsia="Garamond" w:hAnsi="Garamond"/>
          <w:b w:val="false"/>
          <w:bCs w:val="false"/>
          <w:i/>
          <w:iCs/>
          <w:color w:val="555555"/>
          <w:sz w:val="18"/>
          <w:szCs w:val="18"/>
        </w:rPr>
        <w:t xml:space="preserve">  — 3% of listings sell at open house. Other 97%: no benefit from the event. Standard industry outcome.</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B metric: serious buyers converted to represented clients.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9.5</w:t>
      </w:r>
      <w:r>
        <w:rPr>
          <w:rFonts w:ascii="Garamond" w:cs="Garamond" w:eastAsia="Garamond" w:hAnsi="Garamond"/>
          <w:b w:val="false"/>
          <w:bCs w:val="false"/>
          <w:i/>
          <w:iCs/>
          <w:color w:val="555555"/>
          <w:sz w:val="18"/>
          <w:szCs w:val="18"/>
        </w:rPr>
        <w:t xml:space="preserve">  — 8 serious buyer contacts per month. 3 converted to active represented relationships per month. 36 per year.</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1: Agent B represents 14 buyers sourced from open houses. No additional marketing cost.</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10.0</w:t>
      </w:r>
      <w:r>
        <w:rPr>
          <w:rFonts w:ascii="Garamond" w:cs="Garamond" w:eastAsia="Garamond" w:hAnsi="Garamond"/>
          <w:b w:val="false"/>
          <w:bCs w:val="false"/>
          <w:i/>
          <w:iCs/>
          <w:color w:val="555555"/>
          <w:sz w:val="18"/>
          <w:szCs w:val="18"/>
        </w:rPr>
        <w:t xml:space="preserve">  — 14 additional buyer-side transactions. Average buyer commission $8,200. Additional GCI: $114,800.</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2: Pipeline from Year 1 open houses converting and referring.</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10.0</w:t>
      </w:r>
      <w:r>
        <w:rPr>
          <w:rFonts w:ascii="Garamond" w:cs="Garamond" w:eastAsia="Garamond" w:hAnsi="Garamond"/>
          <w:b w:val="false"/>
          <w:bCs w:val="false"/>
          <w:i/>
          <w:iCs/>
          <w:color w:val="555555"/>
          <w:sz w:val="18"/>
          <w:szCs w:val="18"/>
        </w:rPr>
        <w:t xml:space="preserve">  — Year 1 open house buyers referring their networks. Pipeline becomes self-sustaining.</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2 Agent A: same production. Still measuring the wrong metric.</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5</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No improvement. The measurement determines the behavior. The behavior produces the result.</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In your last five open houses: how many serious buyers did you identify? How many did you follow up with within twenty-four hours using a specific reference to what they said? How many of those conversations became represented buyer relationships? If the number is zero on any of these, what does that tell you about how you have been using the most productive prospecting channel in the business?</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Open House Pipeline Protocol</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Before: know everything. Upgrade the sign-in sheet. Plan the serious buyer question. During: identify the three. Concentrate there. Ask the genuine question. After: same-day follow-up with specific reference. Maintain the tracker. Review weekly. Contact withdrawn buyers at three months. The open house converts from an event to a practice when the tracking begins. Track it starting this weekend.</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XIV</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Price Reduction Conversation</w:t>
      </w:r>
    </w:p>
    <w:p>
      <w:pPr>
        <w:spacing w:before="60" w:after="300"/>
        <w:jc w:val="left"/>
      </w:pPr>
      <w:r>
        <w:rPr>
          <w:rFonts w:ascii="Garamond" w:cs="Garamond" w:eastAsia="Garamond" w:hAnsi="Garamond"/>
          <w:b w:val="false"/>
          <w:bCs w:val="false"/>
          <w:i/>
          <w:iCs/>
          <w:color w:val="555555"/>
          <w:sz w:val="26"/>
          <w:szCs w:val="26"/>
        </w:rPr>
        <w:t xml:space="preserve">The agent who tells the seller the price is wrong every two weeks until the price gets reduced is not an advisor. They are a messenger with a financial interest in the outcome. The price reduction conversation fails because agents have it wrong. It succeeds when it is a math presentation, not a negotiation.</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seller does not need to agree with your opinion about the price. They need to understand what the market is doing with the evidence. Opinions can be refused. Mathematics cannot.</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The price reduction conversation is the most consistently mishandled professional conversation in residential real estate. It is mishandled not because agents lack the courage to have it — most agents will eventually tell the seller the price is too high. It is mishandled because of how it is framed: as the agent's professional opinion versus the seller's hope. Two people arguing from two different subjective positions can reach a standoff that persists for months. A seller can refuse an opinion indefinitely. A seller cannot refuse mathematics.</w:t>
      </w:r>
    </w:p>
    <w:p>
      <w:pPr>
        <w:spacing w:before="160" w:after="100"/>
        <w:jc w:val="both"/>
      </w:pPr>
      <w:r>
        <w:rPr>
          <w:rFonts w:ascii="Garamond" w:cs="Garamond" w:eastAsia="Garamond" w:hAnsi="Garamond"/>
          <w:b w:val="false"/>
          <w:bCs w:val="false"/>
          <w:i w:val="false"/>
          <w:iCs w:val="false"/>
          <w:color w:val="1A1A1A"/>
          <w:sz w:val="24"/>
          <w:szCs w:val="24"/>
        </w:rPr>
        <w:t xml:space="preserve">The specific failure mode of the standard price reduction conversation: the agent arrives at the first-of-month check-in call with the message that the price is wrong. The seller responds with the reasons the price is right: the improvements they made, the comparable they saw that supports the number, the specific neighbors who sold at a similar price in a different market. The agent pushes back. The seller holds. The call ends with a promise to reassess after a few more showings. The pattern repeats. The days on market accumulate. The stigma grows. The eventual price reduction is larger than it would have been if the conversation had been handled differently at the thirty-day mark.</w:t>
      </w:r>
    </w:p>
    <w:p>
      <w:pPr>
        <w:spacing w:before="160" w:after="100"/>
        <w:jc w:val="both"/>
      </w:pPr>
      <w:r>
        <w:rPr>
          <w:rFonts w:ascii="Garamond" w:cs="Garamond" w:eastAsia="Garamond" w:hAnsi="Garamond"/>
          <w:b w:val="false"/>
          <w:bCs w:val="false"/>
          <w:i w:val="false"/>
          <w:iCs w:val="false"/>
          <w:color w:val="1A1A1A"/>
          <w:sz w:val="24"/>
          <w:szCs w:val="24"/>
        </w:rPr>
        <w:t xml:space="preserve">The pattern is produced by the framing. The framing of "I think we need to lower the price" is a negotiation — one human's position against another human's position, with identity and hope and the specific pain of relinquishing a financial expectation all operating on the seller's side. The agent's position, however well-reasoned, is still a position. The seller who refuses it is not being irrational. They are being human.</w:t>
      </w:r>
    </w:p>
    <w:p>
      <w:pPr>
        <w:spacing w:before="160" w:after="100"/>
        <w:jc w:val="both"/>
      </w:pPr>
      <w:r>
        <w:rPr>
          <w:rFonts w:ascii="Garamond" w:cs="Garamond" w:eastAsia="Garamond" w:hAnsi="Garamond"/>
          <w:b w:val="false"/>
          <w:bCs w:val="false"/>
          <w:i w:val="false"/>
          <w:iCs w:val="false"/>
          <w:color w:val="1A1A1A"/>
          <w:sz w:val="24"/>
          <w:szCs w:val="24"/>
        </w:rPr>
        <w:t xml:space="preserve">The math presentation framing is entirely different. The math presentation does not position the agent against the seller. It positions the market against the seller. The market cannot be argued with. The market cannot be called biased. The market is an aggregate of the decisions made by every buyer with the capacity to purchase a home in that price range in that neighborhood over the period under analysis. The math presentation shows the seller the aggregate decision.</w:t>
      </w:r>
    </w:p>
    <w:p>
      <w:pPr>
        <w:spacing w:before="160" w:after="100"/>
        <w:jc w:val="both"/>
      </w:pPr>
      <w:r>
        <w:rPr>
          <w:rFonts w:ascii="Garamond" w:cs="Garamond" w:eastAsia="Garamond" w:hAnsi="Garamond"/>
          <w:b w:val="false"/>
          <w:bCs w:val="false"/>
          <w:i w:val="false"/>
          <w:iCs w:val="false"/>
          <w:color w:val="1A1A1A"/>
          <w:sz w:val="24"/>
          <w:szCs w:val="24"/>
        </w:rPr>
        <w:t xml:space="preserve">The specific math: show the seller the showing-to-offer ratio for their price range over the last thirty days in their specific area. If the market average is one showing per day with an offer expected within fourteen days of listing, and the subject property has had thirty-one showings and zero offers after forty-five days, the market has spoken. The market has produced thirty-one decisions not to purchase. The reason thirty-one buyers decided not to purchase this property is almost always the same reason: the price is in excess of what the property provides relative to the alternatives available at the same investment.</w:t>
      </w:r>
    </w:p>
    <w:p>
      <w:pPr>
        <w:spacing w:before="160" w:after="100"/>
        <w:jc w:val="both"/>
      </w:pPr>
      <w:r>
        <w:rPr>
          <w:rFonts w:ascii="Garamond" w:cs="Garamond" w:eastAsia="Garamond" w:hAnsi="Garamond"/>
          <w:b w:val="false"/>
          <w:bCs w:val="false"/>
          <w:i w:val="false"/>
          <w:iCs w:val="false"/>
          <w:color w:val="1A1A1A"/>
          <w:sz w:val="24"/>
          <w:szCs w:val="24"/>
        </w:rPr>
        <w:t xml:space="preserve">The conversion rate data is the most powerful element of the math presentation. In a properly priced market, a property generates an offer from approximately 15-20% of its showings within the first thirty days. If the subject property has had twenty showings and zero offers, the offer rate is 0%. The market average is 15-20%. The difference between 0% and 15-20% is not a matter of marketing, photography, or staging — those variables were already in play during the twenty showings. The difference is price. The math makes this visible in a way that no agent opinion can.</w:t>
      </w:r>
    </w:p>
    <w:p>
      <w:pPr>
        <w:spacing w:before="160" w:after="100"/>
        <w:jc w:val="both"/>
      </w:pPr>
      <w:r>
        <w:rPr>
          <w:rFonts w:ascii="Garamond" w:cs="Garamond" w:eastAsia="Garamond" w:hAnsi="Garamond"/>
          <w:b w:val="false"/>
          <w:bCs w:val="false"/>
          <w:i w:val="false"/>
          <w:iCs w:val="false"/>
          <w:color w:val="1A1A1A"/>
          <w:sz w:val="24"/>
          <w:szCs w:val="24"/>
        </w:rPr>
        <w:t xml:space="preserve">The carrying cost calculation is the element that converts the math presentation from abstract to personal. The seller who is carrying a $3,800 monthly mortgage payment on a property they cannot sell at the current price while paying $2,400 per month in rent on the apartment where they are living is paying $6,200 per month in combined housing costs for every month the property does not sell. The price reduction that resolves the situation in thirty days costs the seller a one-time reduction in proceeds. The refusal to reduce costs the seller $6,200 per month, plus the psychological and practical cost of the ongoing situation, plus the additional market stigma that accumulates with each additional week on market.</w:t>
      </w:r>
    </w:p>
    <w:p>
      <w:pPr>
        <w:spacing w:before="160" w:after="100"/>
        <w:jc w:val="both"/>
      </w:pPr>
      <w:r>
        <w:rPr>
          <w:rFonts w:ascii="Garamond" w:cs="Garamond" w:eastAsia="Garamond" w:hAnsi="Garamond"/>
          <w:b w:val="false"/>
          <w:bCs w:val="false"/>
          <w:i w:val="false"/>
          <w:iCs w:val="false"/>
          <w:color w:val="1A1A1A"/>
          <w:sz w:val="24"/>
          <w:szCs w:val="24"/>
        </w:rPr>
        <w:t xml:space="preserve">The price reduction conversation done correctly is not a difficult conversation. It is a clear one. The agent who arrives with the showing-to-offer ratio, the market average comparison, the days-on-market context, and the carrying cost calculation is not asking the seller to accept their opinion. They are showing the seller the specific evidence that the market has produced and the specific cost of the decision to leave the price unchanged. The seller who sees this evidence makes a different decision than the seller who hears the agent's opinion.</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Build the Price Conversation Document before the first showing occurs. A one-page visual that shows: the price range in the market where your property lives, the average showing-to-offer ratio for that range in the current market (calculate this from your MLS: total showings per contract in the last sixty days for comparable listings), and the expected showing count at which an offer should arrive if the property is priced correctly. This document sets the expectation before the activity begins. The seller who knows the market standard before the first showing processes the first showing data very differently than the seller who receives it without context.</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The thirty-day review: on day twenty-eight, not day thirty, call the seller with the specific numbers. "We've had [X] showings. The market average for a correctly priced property in this range produces an offer from every [Y] showings. We need [Z] offers to have found our buyer. At the current pace, we have a significant variance from the market average that I want to show you specifically." This conversation is not a surprise. The seller was shown the expected ratio at listing. The thirty-day data is compared to the expectation that was already set.</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The specific math presentation sequence: slide one, the market showing-to-offer ratio. Slide two, the subject property's showing-to-offer ratio. Slide three, the variance. Slide four, the carrying cost calculation at the current timeline. Slide five, the net proceeds at reduced price versus net proceeds at current price after additional carrying costs and potential further market stigma. The presentation is five numbers. Five numbers are not an opinion. Five numbers are a situation.</w:t>
      </w:r>
    </w:p>
    <w:p>
      <w:pPr>
        <w:spacing w:before="90" w:after="70"/>
        <w:ind w:left="220"/>
      </w:pPr>
      <w:r>
        <w:rPr>
          <w:rFonts w:ascii="Garamond" w:cs="Garamond" w:eastAsia="Garamond" w:hAnsi="Garamond"/>
          <w:b/>
          <w:bCs/>
          <w:i w:val="false"/>
          <w:iCs w:val="false"/>
          <w:color w:val="C4A95A"/>
          <w:sz w:val="22"/>
          <w:szCs w:val="22"/>
        </w:rPr>
        <w:t xml:space="preserve">4.  </w:t>
      </w:r>
      <w:r>
        <w:rPr>
          <w:rFonts w:ascii="Garamond" w:cs="Garamond" w:eastAsia="Garamond" w:hAnsi="Garamond"/>
          <w:b w:val="false"/>
          <w:bCs w:val="false"/>
          <w:i w:val="false"/>
          <w:iCs w:val="false"/>
          <w:color w:val="1A1A1A"/>
          <w:sz w:val="22"/>
          <w:szCs w:val="22"/>
        </w:rPr>
        <w:t xml:space="preserve">The feedback aggregation: collect specific feedback from every buyer's agent after every showing using the Feedback Request Template: "On a scale of 1-10 from your client's perspective, how did the price compare to the value they perceived? What was the single biggest objection?" Aggregate this feedback and present it to the seller as data. Ten buyer agents saying "price" as the primary objection is not your opinion. It is the consensus of ten professional observers with direct access to buyer sentiment.</w:t>
      </w:r>
    </w:p>
    <w:p>
      <w:pPr>
        <w:spacing w:before="90" w:after="70"/>
        <w:ind w:left="220"/>
      </w:pPr>
      <w:r>
        <w:rPr>
          <w:rFonts w:ascii="Garamond" w:cs="Garamond" w:eastAsia="Garamond" w:hAnsi="Garamond"/>
          <w:b/>
          <w:bCs/>
          <w:i w:val="false"/>
          <w:iCs w:val="false"/>
          <w:color w:val="C4A95A"/>
          <w:sz w:val="22"/>
          <w:szCs w:val="22"/>
        </w:rPr>
        <w:t xml:space="preserve">5.  </w:t>
      </w:r>
      <w:r>
        <w:rPr>
          <w:rFonts w:ascii="Garamond" w:cs="Garamond" w:eastAsia="Garamond" w:hAnsi="Garamond"/>
          <w:b w:val="false"/>
          <w:bCs w:val="false"/>
          <w:i w:val="false"/>
          <w:iCs w:val="false"/>
          <w:color w:val="1A1A1A"/>
          <w:sz w:val="22"/>
          <w:szCs w:val="22"/>
        </w:rPr>
        <w:t xml:space="preserve">The price range strategy: present the price reduction as a move into a different buyer pool rather than as a concession. "At $510,000, we are at the top of the $500,000-$525,000 buyer pool, competing with three other properties they are considering. At $499,000, we move into the search results of every buyer searching up to $500,000 — a pool approximately 40% larger in this market. The price change is not a reduction. It is a migration into a more active pool." The framing is accurate and it converts the reduction from a defeat into a strategy.</w:t>
      </w:r>
    </w:p>
    <w:p>
      <w:pPr>
        <w:spacing w:before="90" w:after="70"/>
        <w:ind w:left="220"/>
      </w:pPr>
      <w:r>
        <w:rPr>
          <w:rFonts w:ascii="Garamond" w:cs="Garamond" w:eastAsia="Garamond" w:hAnsi="Garamond"/>
          <w:b/>
          <w:bCs/>
          <w:i w:val="false"/>
          <w:iCs w:val="false"/>
          <w:color w:val="C4A95A"/>
          <w:sz w:val="22"/>
          <w:szCs w:val="22"/>
        </w:rPr>
        <w:t xml:space="preserve">6.  </w:t>
      </w:r>
      <w:r>
        <w:rPr>
          <w:rFonts w:ascii="Garamond" w:cs="Garamond" w:eastAsia="Garamond" w:hAnsi="Garamond"/>
          <w:b w:val="false"/>
          <w:bCs w:val="false"/>
          <w:i w:val="false"/>
          <w:iCs w:val="false"/>
          <w:color w:val="1A1A1A"/>
          <w:sz w:val="22"/>
          <w:szCs w:val="22"/>
        </w:rPr>
        <w:t xml:space="preserve">The urgency mathematics: calculate and present the specific cost of waiting. "Every thirty days at the current price costs approximately $[X] in carrying costs and adds approximately [Y] days to the expected transaction timeline as the market stigma of extended DOM accumulates. The price reduction that resolves the situation now versus thirty days from now has a net present value difference of approximately $[Z] in your favor." This calculation is honest and specific. It converts the "we can wait" position from a reasonable strategy into a quantified cost.</w:t>
      </w:r>
    </w:p>
    <w:p>
      <w:pPr>
        <w:spacing w:before="90" w:after="70"/>
        <w:ind w:left="220"/>
      </w:pPr>
      <w:r>
        <w:rPr>
          <w:rFonts w:ascii="Garamond" w:cs="Garamond" w:eastAsia="Garamond" w:hAnsi="Garamond"/>
          <w:b/>
          <w:bCs/>
          <w:i w:val="false"/>
          <w:iCs w:val="false"/>
          <w:color w:val="C4A95A"/>
          <w:sz w:val="22"/>
          <w:szCs w:val="22"/>
        </w:rPr>
        <w:t xml:space="preserve">7.  </w:t>
      </w:r>
      <w:r>
        <w:rPr>
          <w:rFonts w:ascii="Garamond" w:cs="Garamond" w:eastAsia="Garamond" w:hAnsi="Garamond"/>
          <w:b w:val="false"/>
          <w:bCs w:val="false"/>
          <w:i w:val="false"/>
          <w:iCs w:val="false"/>
          <w:color w:val="1A1A1A"/>
          <w:sz w:val="22"/>
          <w:szCs w:val="22"/>
        </w:rPr>
        <w:t xml:space="preserve">The reduction amount doctrine: when a reduction is needed, recommend a reduction that moves the property into a meaningfully different buyer pool — not a gesture reduction. The $510,000 to $505,000 reduction moves the property nowhere. No new buyer pool is reached. No search filter threshold is crossed. The $510,000 to $499,000 reduction crosses the $500,000 search threshold and enters an entirely new buyer pool. The doctrine: reduce to the nearest meaningful threshold, not to the nearest comfortable number for the seller.</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Same listing. Two agents. Day 35 after listing with zero offers despite 28 showings.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A: "I think we need to consider adjusting the price." Seller: "Let's give it more time."</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1</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-4</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-5.5</w:t>
      </w:r>
      <w:r>
        <w:rPr>
          <w:rFonts w:ascii="Garamond" w:cs="Garamond" w:eastAsia="Garamond" w:hAnsi="Garamond"/>
          <w:b w:val="false"/>
          <w:bCs w:val="false"/>
          <w:i/>
          <w:iCs/>
          <w:color w:val="555555"/>
          <w:sz w:val="18"/>
          <w:szCs w:val="18"/>
        </w:rPr>
        <w:t xml:space="preserve">  — Day 60: still no offers. 52 showings. DOM stigma beginning. Seller still resisting. Agent without framework.</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B: Presents the five-number math. "The market has produced 28 decisions not to purchase."</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7</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9.0</w:t>
      </w:r>
      <w:r>
        <w:rPr>
          <w:rFonts w:ascii="Garamond" w:cs="Garamond" w:eastAsia="Garamond" w:hAnsi="Garamond"/>
          <w:b w:val="false"/>
          <w:bCs w:val="false"/>
          <w:i/>
          <w:iCs/>
          <w:color w:val="555555"/>
          <w:sz w:val="18"/>
          <w:szCs w:val="18"/>
        </w:rPr>
        <w:t xml:space="preserve">  — Seller: "What does the math say we should do?" The math has replaced the negotiation.</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B: Presents price range migration strategy from $510,000 to $499,000.</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9.0</w:t>
      </w:r>
      <w:r>
        <w:rPr>
          <w:rFonts w:ascii="Garamond" w:cs="Garamond" w:eastAsia="Garamond" w:hAnsi="Garamond"/>
          <w:b w:val="false"/>
          <w:bCs w:val="false"/>
          <w:i/>
          <w:iCs/>
          <w:color w:val="555555"/>
          <w:sz w:val="18"/>
          <w:szCs w:val="18"/>
        </w:rPr>
        <w:t xml:space="preserve">  — Seller: "If it moves us into a different buyer pool, that's a strategy, not a surrender."</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Day 38: reduced to $499,000. Showings: 6 in first 3 days. Offer by day 42.</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9.5</w:t>
      </w:r>
      <w:r>
        <w:rPr>
          <w:rFonts w:ascii="Garamond" w:cs="Garamond" w:eastAsia="Garamond" w:hAnsi="Garamond"/>
          <w:b w:val="false"/>
          <w:bCs w:val="false"/>
          <w:i/>
          <w:iCs/>
          <w:color w:val="555555"/>
          <w:sz w:val="18"/>
          <w:szCs w:val="18"/>
        </w:rPr>
        <w:t xml:space="preserve">  — The new pool was waiting. The math was right. The seller made a financial decision, not an emotional one.</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Carrying cost saved by Day 35 price reduction versus Day 60 price reduction.</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$6,200/month x 25 days: $5,167 in carrying costs saved. Plus DOM stigma avoided. Net proceeds $8,000 higher.</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Seller at close: "She showed us the math and we understood it. We'd never had an agent do that."</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10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10.5</w:t>
      </w:r>
      <w:r>
        <w:rPr>
          <w:rFonts w:ascii="Garamond" w:cs="Garamond" w:eastAsia="Garamond" w:hAnsi="Garamond"/>
          <w:b w:val="false"/>
          <w:bCs w:val="false"/>
          <w:i/>
          <w:iCs/>
          <w:color w:val="555555"/>
          <w:sz w:val="18"/>
          <w:szCs w:val="18"/>
        </w:rPr>
        <w:t xml:space="preserve">  — Two referrals within 60 days. The math presentation produces more referrals than the smooth market experience.</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In your currently active listings that have been on market over thirty days with no offer: have you presented the math, or have you been presenting your opinion? What would the math show the seller that your opinion cannot? And what specific number in that math have you been managing rather than disclosing?</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Price Conversation System</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Build the one-page market comparison document before the next listing appointment. Set the showing-to-offer expectation at listing. Build the five-number slide sequence. Present at day twenty-eight using market data, not agent opinion. Track the time between the math presentation and the price reduction decision versus the time for the opinion-based conversation. The math closes the gap. The gap is a financial cost. Eliminate it.</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XV</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Off-Market Transaction</w:t>
      </w:r>
    </w:p>
    <w:p>
      <w:pPr>
        <w:spacing w:before="60" w:after="300"/>
        <w:jc w:val="left"/>
      </w:pPr>
      <w:r>
        <w:rPr>
          <w:rFonts w:ascii="Garamond" w:cs="Garamond" w:eastAsia="Garamond" w:hAnsi="Garamond"/>
          <w:b w:val="false"/>
          <w:bCs w:val="false"/>
          <w:i/>
          <w:iCs/>
          <w:color w:val="555555"/>
          <w:sz w:val="26"/>
          <w:szCs w:val="26"/>
        </w:rPr>
        <w:t xml:space="preserve">Every property in your market is for sale at the right price, on the right terms, at the right moment. Most of those transactions will never appear on the MLS. The agent whose network produces the right match at the right moment does not need to compete with any other agent — because no other agent knows the transaction exists.</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MLS is where agents without networks compete. The off-market is where the network produces transactions that the market never sees, at margins that the competitive MLS cannot produce, with the specific gratitude that belongs to the person who made the impossible possible.</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The off-market transaction is the evidence of a network operating at depth. It is not a secret transaction or a transaction that avoids appropriate disclosure — it is a transaction that originates from a professional relationship network rather than from the public market infrastructure. The seller who has a motivated buyer connected through the agent before the listing is ever public, the buyer who gets the first call when the pre-market seller's situation reaches the decision point, the landlord who is referred to the investor who is the perfect match for the portfolio — these transactions share one characteristic: they originated in a relationship rather than in a database.</w:t>
      </w:r>
    </w:p>
    <w:p>
      <w:pPr>
        <w:spacing w:before="160" w:after="100"/>
        <w:jc w:val="both"/>
      </w:pPr>
      <w:r>
        <w:rPr>
          <w:rFonts w:ascii="Garamond" w:cs="Garamond" w:eastAsia="Garamond" w:hAnsi="Garamond"/>
          <w:b w:val="false"/>
          <w:bCs w:val="false"/>
          <w:i w:val="false"/>
          <w:iCs w:val="false"/>
          <w:color w:val="1A1A1A"/>
          <w:sz w:val="24"/>
          <w:szCs w:val="24"/>
        </w:rPr>
        <w:t xml:space="preserve">The public market is a matching system that is extraordinarily efficient at matching sellers with buyers who have self-selected into the search. The buyer who is actively searching Zillow will find the property. The buyer who is not actively searching will not. The public market is, therefore, structurally blind to a significant population of potential buyers whose motivation has not yet converted into active search behavior. The off-market agent's job is to operate in the gap between the motivated buyer who has not yet reached the public market and the motivated seller who has not yet reached the listing.</w:t>
      </w:r>
    </w:p>
    <w:p>
      <w:pPr>
        <w:spacing w:before="160" w:after="100"/>
        <w:jc w:val="both"/>
      </w:pPr>
      <w:r>
        <w:rPr>
          <w:rFonts w:ascii="Garamond" w:cs="Garamond" w:eastAsia="Garamond" w:hAnsi="Garamond"/>
          <w:b w:val="false"/>
          <w:bCs w:val="false"/>
          <w:i w:val="false"/>
          <w:iCs w:val="false"/>
          <w:color w:val="1A1A1A"/>
          <w:sz w:val="24"/>
          <w:szCs w:val="24"/>
        </w:rPr>
        <w:t xml:space="preserve">The pre-listing conversation is the first off-market tool. Every agent who has built a genuine network of homeowner relationships through the practices described in this doctrine — the delinquent tax contacts, the probate relationships, the permit pull contacts, the geographic farm connections — has, at any given moment, a population of homeowners who are somewhere on the spectrum between "I have thought about selling" and "I am ready to list." These homeowners exist in a stage of motivated pre-decision that the public market cannot reach. The agent can reach them because they have a relationship.</w:t>
      </w:r>
    </w:p>
    <w:p>
      <w:pPr>
        <w:spacing w:before="160" w:after="100"/>
        <w:jc w:val="both"/>
      </w:pPr>
      <w:r>
        <w:rPr>
          <w:rFonts w:ascii="Garamond" w:cs="Garamond" w:eastAsia="Garamond" w:hAnsi="Garamond"/>
          <w:b w:val="false"/>
          <w:bCs w:val="false"/>
          <w:i w:val="false"/>
          <w:iCs w:val="false"/>
          <w:color w:val="1A1A1A"/>
          <w:sz w:val="24"/>
          <w:szCs w:val="24"/>
        </w:rPr>
        <w:t xml:space="preserve">The buyer network is the second off-market tool. The agent who has served a significant number of buyers — who has built genuine relationships with clients who purchased successfully and who maintains those relationships through the practices described in Estate XXXVIII — has a population of past clients who are at various stages of their ownership journey. Some of these clients are considering a move they have not yet publicly announced. The agent who maintains the relationship is the first to know. The first to know is the first to act. The first to act in a pre-market situation is the agent who eliminates competition entirely.</w:t>
      </w:r>
    </w:p>
    <w:p>
      <w:pPr>
        <w:spacing w:before="160" w:after="100"/>
        <w:jc w:val="both"/>
      </w:pPr>
      <w:r>
        <w:rPr>
          <w:rFonts w:ascii="Garamond" w:cs="Garamond" w:eastAsia="Garamond" w:hAnsi="Garamond"/>
          <w:b w:val="false"/>
          <w:bCs w:val="false"/>
          <w:i w:val="false"/>
          <w:iCs w:val="false"/>
          <w:color w:val="1A1A1A"/>
          <w:sz w:val="24"/>
          <w:szCs w:val="24"/>
        </w:rPr>
        <w:t xml:space="preserve">The investor network is the third off-market tool. Investors who are actively acquiring properties prefer off-market transactions to MLS competition for specific and rational reasons: the off-market transaction is not subject to the competitive bidding that compresses investor returns, the off-market seller is typically more motivated than the market-tested seller, and the off-market transaction can often be structured with terms — extended close, leaseback, creative financing — that the competitive market cannot accommodate. The agent who has relationships with active investors has a population of buyers who are perpetually motivated and specifically prefer the off-market channel.</w:t>
      </w:r>
    </w:p>
    <w:p>
      <w:pPr>
        <w:spacing w:before="160" w:after="100"/>
        <w:jc w:val="both"/>
      </w:pPr>
      <w:r>
        <w:rPr>
          <w:rFonts w:ascii="Garamond" w:cs="Garamond" w:eastAsia="Garamond" w:hAnsi="Garamond"/>
          <w:b w:val="false"/>
          <w:bCs w:val="false"/>
          <w:i w:val="false"/>
          <w:iCs w:val="false"/>
          <w:color w:val="1A1A1A"/>
          <w:sz w:val="24"/>
          <w:szCs w:val="24"/>
        </w:rPr>
        <w:t xml:space="preserve">The specific orchestration of an off-market transaction requires information on both sides of the match simultaneously: knowledge of who is considering selling before they have made the decision public, and knowledge of who would purchase at the right price and terms. The agent with a deep network has both. The agent whose practice has been building pre-listing relationships for three years knows which homeowners are in the pre-decision stage. The agent whose investor network has been maintained through genuine relationship investment knows which investors are actively acquiring in which price ranges and property types. The agent who has both can engineer matches that the public market cannot produce because both parties are invisible to the public market.</w:t>
      </w:r>
    </w:p>
    <w:p>
      <w:pPr>
        <w:spacing w:before="160" w:after="100"/>
        <w:jc w:val="both"/>
      </w:pPr>
      <w:r>
        <w:rPr>
          <w:rFonts w:ascii="Garamond" w:cs="Garamond" w:eastAsia="Garamond" w:hAnsi="Garamond"/>
          <w:b w:val="false"/>
          <w:bCs w:val="false"/>
          <w:i w:val="false"/>
          <w:iCs w:val="false"/>
          <w:color w:val="1A1A1A"/>
          <w:sz w:val="24"/>
          <w:szCs w:val="24"/>
        </w:rPr>
        <w:t xml:space="preserve">The financial structure of the off-market transaction frequently produces a specific win for all parties. The seller who avoids the MLS process eliminates the showing disruption, the public knowledge of the financial situation, the time pressure of the market timeline, and the competitive dynamics that can push the price in a direction that serves the market but not the specific seller's circumstances. The buyer who acquires off-market eliminates the competition that drives up prices in an active market and can negotiate terms that the competitive market would never accommodate. The agent who facilitates this match is not dividing a fixed pie. They are creating a transaction that would not exist without their network — the definition of genuine professional value creation.</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Build the Off-Market Inventory List: a private document, updated monthly, listing every homeowner in your network who has any signal of pre-decision motivation. Sources: your delinquent tax contacts who have not yet listed, your probate estate contacts in the decision-making phase, your permit pull contacts who are post-renovation and may be considering their next chapter, your geographic farm contacts who have mentioned any life change in your last contact. This list is your off-market inventory. It exists only because of the relationship practices described in this doctrine. Without those practices, the list is empty.</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Build the Active Buyer Profile List: a parallel document listing every buyer client and investor in your network with active purchase criteria. For each: price range, property type, specific requirements, timeline, and a one-sentence description of what would make them write an offer immediately. This document converts your buyer network from a passive contact list into an active matching tool. Every new pre-listing relationship you identify goes through this list first: is there an existing buyer in the network who is the right match?</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The pre-listing approach: when a homeowner in your network reaches the point of genuine consideration, the conversation that produces off-market transactions: "Before you list publicly, I want to share something. I have [X] buyers currently searching in this specific price range and property type who I have been working with actively. One of them may be an ideal match for your situation. Would you be open to letting me approach them privately before we go to the market? If it works, you avoid the showing disruption and the public exposure. If it doesn't produce the right buyer, we have lost nothing and you list as planned." This conversation is available only to the agent with an actual buyer network.</w:t>
      </w:r>
    </w:p>
    <w:p>
      <w:pPr>
        <w:spacing w:before="90" w:after="70"/>
        <w:ind w:left="220"/>
      </w:pPr>
      <w:r>
        <w:rPr>
          <w:rFonts w:ascii="Garamond" w:cs="Garamond" w:eastAsia="Garamond" w:hAnsi="Garamond"/>
          <w:b/>
          <w:bCs/>
          <w:i w:val="false"/>
          <w:iCs w:val="false"/>
          <w:color w:val="C4A95A"/>
          <w:sz w:val="22"/>
          <w:szCs w:val="22"/>
        </w:rPr>
        <w:t xml:space="preserve">4.  </w:t>
      </w:r>
      <w:r>
        <w:rPr>
          <w:rFonts w:ascii="Garamond" w:cs="Garamond" w:eastAsia="Garamond" w:hAnsi="Garamond"/>
          <w:b w:val="false"/>
          <w:bCs w:val="false"/>
          <w:i w:val="false"/>
          <w:iCs w:val="false"/>
          <w:color w:val="1A1A1A"/>
          <w:sz w:val="22"/>
          <w:szCs w:val="22"/>
        </w:rPr>
        <w:t xml:space="preserve">The investor matching conversation: for properties that match an investor's acquisition criteria, the approach is direct and specific. "I have a property that meets every criterion on your list — price range, property type, neighborhood, condition. It is not listed. The owner is considering selling and has given me a brief window to test interest before going public. Are you available to see it this week?" The investor who receives this call knows immediately that they are in a privileged position — that they are receiving access to an opportunity that the market does not know exists. The response rate is approximately 80%.</w:t>
      </w:r>
    </w:p>
    <w:p>
      <w:pPr>
        <w:spacing w:before="90" w:after="70"/>
        <w:ind w:left="220"/>
      </w:pPr>
      <w:r>
        <w:rPr>
          <w:rFonts w:ascii="Garamond" w:cs="Garamond" w:eastAsia="Garamond" w:hAnsi="Garamond"/>
          <w:b/>
          <w:bCs/>
          <w:i w:val="false"/>
          <w:iCs w:val="false"/>
          <w:color w:val="C4A95A"/>
          <w:sz w:val="22"/>
          <w:szCs w:val="22"/>
        </w:rPr>
        <w:t xml:space="preserve">5.  </w:t>
      </w:r>
      <w:r>
        <w:rPr>
          <w:rFonts w:ascii="Garamond" w:cs="Garamond" w:eastAsia="Garamond" w:hAnsi="Garamond"/>
          <w:b w:val="false"/>
          <w:bCs w:val="false"/>
          <w:i w:val="false"/>
          <w:iCs w:val="false"/>
          <w:color w:val="1A1A1A"/>
          <w:sz w:val="22"/>
          <w:szCs w:val="22"/>
        </w:rPr>
        <w:t xml:space="preserve">The off-market pricing doctrine: off-market transactions do not require below-market pricing to close. They require pricing that is fair to both parties and that eliminates the market friction that neither party wants to navigate. The seller who avoids six weeks of showings and public MLS exposure often accepts a price that is 1-3% below the market peak in exchange for that convenience. The buyer who avoids competitive bidding and acquires on favorable terms often pays a price that is at or near market. The agent's job is to find the overlap between what the seller finds acceptable and what the buyer finds compelling. This is not a discount transaction. It is an efficient transaction.</w:t>
      </w:r>
    </w:p>
    <w:p>
      <w:pPr>
        <w:spacing w:before="90" w:after="70"/>
        <w:ind w:left="220"/>
      </w:pPr>
      <w:r>
        <w:rPr>
          <w:rFonts w:ascii="Garamond" w:cs="Garamond" w:eastAsia="Garamond" w:hAnsi="Garamond"/>
          <w:b/>
          <w:bCs/>
          <w:i w:val="false"/>
          <w:iCs w:val="false"/>
          <w:color w:val="C4A95A"/>
          <w:sz w:val="22"/>
          <w:szCs w:val="22"/>
        </w:rPr>
        <w:t xml:space="preserve">6.  </w:t>
      </w:r>
      <w:r>
        <w:rPr>
          <w:rFonts w:ascii="Garamond" w:cs="Garamond" w:eastAsia="Garamond" w:hAnsi="Garamond"/>
          <w:b w:val="false"/>
          <w:bCs w:val="false"/>
          <w:i w:val="false"/>
          <w:iCs w:val="false"/>
          <w:color w:val="1A1A1A"/>
          <w:sz w:val="22"/>
          <w:szCs w:val="22"/>
        </w:rPr>
        <w:t xml:space="preserve">The transaction structure in the off-market: the off-market transaction requires the same professional documentation as any market transaction. The offer, the disclosures, the inspection, the title work — everything proceeds identically to a standard transaction. The difference is origin and process, not documentation. The agent who believes the off-market transaction can skip professional documentation creates liability for both parties that the transaction's efficiency does not justify.</w:t>
      </w:r>
    </w:p>
    <w:p>
      <w:pPr>
        <w:spacing w:before="90" w:after="70"/>
        <w:ind w:left="220"/>
      </w:pPr>
      <w:r>
        <w:rPr>
          <w:rFonts w:ascii="Garamond" w:cs="Garamond" w:eastAsia="Garamond" w:hAnsi="Garamond"/>
          <w:b/>
          <w:bCs/>
          <w:i w:val="false"/>
          <w:iCs w:val="false"/>
          <w:color w:val="C4A95A"/>
          <w:sz w:val="22"/>
          <w:szCs w:val="22"/>
        </w:rPr>
        <w:t xml:space="preserve">7.  </w:t>
      </w:r>
      <w:r>
        <w:rPr>
          <w:rFonts w:ascii="Garamond" w:cs="Garamond" w:eastAsia="Garamond" w:hAnsi="Garamond"/>
          <w:b w:val="false"/>
          <w:bCs w:val="false"/>
          <w:i w:val="false"/>
          <w:iCs w:val="false"/>
          <w:color w:val="1A1A1A"/>
          <w:sz w:val="22"/>
          <w:szCs w:val="22"/>
        </w:rPr>
        <w:t xml:space="preserve">The confidentiality requirement: the seller who enters a pre-listing conversation with the agent has extended trust that goes beyond a listing agreement. They have shared financial vulnerability, life circumstances, and specific needs in a context that they expect will remain private. The agent who treats the pre-listing conversation as a prospecting event — who uses the information to create competitive pressure, to build a public profile, to leverage the situation against the seller — destroys not just the relationship but the specific reputation in the network that makes the off-market practice possible. Every off-market conversation must be treated as confidential unless the seller explicitly authorizes disclosure.</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Two agents. Same market. One with active off-market practice. One without. Two years.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No off-market practice: every listing goes to MLS. Every buyer searches MLS.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4</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5</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w:t>
      </w:r>
      <w:r>
        <w:rPr>
          <w:rFonts w:ascii="Garamond" w:cs="Garamond" w:eastAsia="Garamond" w:hAnsi="Garamond"/>
          <w:b w:val="false"/>
          <w:bCs w:val="false"/>
          <w:i/>
          <w:iCs/>
          <w:color w:val="555555"/>
          <w:sz w:val="18"/>
          <w:szCs w:val="18"/>
        </w:rPr>
        <w:t xml:space="preserve">  — Full market exposure. Full competition. Standard outcomes at standard margins.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Off-market practice: pre-listing inventory list, buyer network, investor matching.</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10.0</w:t>
      </w:r>
      <w:r>
        <w:rPr>
          <w:rFonts w:ascii="Garamond" w:cs="Garamond" w:eastAsia="Garamond" w:hAnsi="Garamond"/>
          <w:b w:val="false"/>
          <w:bCs w:val="false"/>
          <w:i/>
          <w:iCs/>
          <w:color w:val="555555"/>
          <w:sz w:val="18"/>
          <w:szCs w:val="18"/>
        </w:rPr>
        <w:t xml:space="preserve">  — Pre-match opportunity on every pre-decision seller contact. Transaction creation not dependent on MLS competition.</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1: Off-market agent closes 6 transactions that never hit MLS.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10.5</w:t>
      </w:r>
      <w:r>
        <w:rPr>
          <w:rFonts w:ascii="Garamond" w:cs="Garamond" w:eastAsia="Garamond" w:hAnsi="Garamond"/>
          <w:b w:val="false"/>
          <w:bCs w:val="false"/>
          <w:i/>
          <w:iCs/>
          <w:color w:val="555555"/>
          <w:sz w:val="18"/>
          <w:szCs w:val="18"/>
        </w:rPr>
        <w:t xml:space="preserve">  — Each off-market transaction: full commission on both sides in some cases. No MLS fees. No showing disruption for seller. Seller maximum gratitude.</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1: Average off-market transaction premium — commission per side.</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Off-market dual representation (where legally permitted and disclosed): average commission 150% of standard listing. Six transactions: additional $78,000 GCI.</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2: Off-market reputation compounds. Investors seeking agent specifically.</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10.0</w:t>
      </w:r>
      <w:r>
        <w:rPr>
          <w:rFonts w:ascii="Garamond" w:cs="Garamond" w:eastAsia="Garamond" w:hAnsi="Garamond"/>
          <w:b w:val="false"/>
          <w:bCs w:val="false"/>
          <w:i/>
          <w:iCs/>
          <w:color w:val="555555"/>
          <w:sz w:val="18"/>
          <w:szCs w:val="18"/>
        </w:rPr>
        <w:t xml:space="preserve">  — "I heard you do off-market. I want to buy off-market. Who are you working with?"</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How many homeowners in your network right now are in a pre-decision stage — considering selling but not yet committed to listing? How many active buyers do you have who have given you specific criteria and are ready to act quickly? If you matched these two groups, how many transactions exist in the overlap that the MLS will never see?</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Off-Market Infrastructure</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This week: build both lists. The Off-Market Inventory List — every pre-decision homeowner in your network. The Active Buyer Profile List — every buyer with specific ready criteria. Cross-reference them monthly. The match that exists at the intersection of these two lists is the off-market transaction that creates value no market can create. The infrastructure takes four hours to build. It produces returns for the duration of the career.</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80"/>
        <w:jc w:val="center"/>
      </w:pPr>
      <w:r>
        <w:rPr>
          <w:rFonts w:ascii="Garamond" w:cs="Garamond" w:eastAsia="Garamond" w:hAnsi="Garamond"/>
          <w:b/>
          <w:bCs/>
          <w:i w:val="false"/>
          <w:iCs w:val="false"/>
          <w:color w:val="C4A95A"/>
          <w:sz w:val="52"/>
          <w:szCs w:val="52"/>
        </w:rPr>
        <w:t xml:space="preserve">BOOK IV</w:t>
      </w:r>
    </w:p>
    <w:p>
      <w:pPr>
        <w:spacing w:before="0" w:after="100"/>
        <w:jc w:val="center"/>
      </w:pPr>
      <w:r>
        <w:rPr>
          <w:rFonts w:ascii="Garamond" w:cs="Garamond" w:eastAsia="Garamond" w:hAnsi="Garamond"/>
          <w:b/>
          <w:bCs/>
          <w:i w:val="false"/>
          <w:iCs w:val="false"/>
          <w:color w:val="0A0A0A"/>
          <w:sz w:val="52"/>
          <w:szCs w:val="52"/>
        </w:rPr>
        <w:t xml:space="preserve">THE ESTATE OF THE NETWORK</w:t>
      </w:r>
    </w:p>
    <w:p>
      <w:pPr>
        <w:pBdr>
          <w:bottom w:val="single" w:color="C4A95A" w:sz="6" w:space="8"/>
        </w:pBdr>
        <w:spacing w:before="0" w:after="200"/>
        <w:jc w:val="center"/>
      </w:pPr>
      <w:r>
        <w:rPr>
          <w:rFonts w:ascii="Garamond" w:cs="Garamond" w:eastAsia="Garamond" w:hAnsi="Garamond"/>
          <w:b w:val="false"/>
          <w:bCs w:val="false"/>
          <w:i/>
          <w:iCs/>
          <w:color w:val="555555"/>
          <w:sz w:val="28"/>
          <w:szCs w:val="28"/>
        </w:rPr>
        <w:t xml:space="preserve">The professionals who know before you know. The records that tell you before anyone tells them.</w:t>
      </w:r>
    </w:p>
    <w:p>
      <w:pPr>
        <w:spacing w:before="160" w:after="100"/>
        <w:jc w:val="both"/>
      </w:pPr>
      <w:r>
        <w:rPr>
          <w:rFonts w:ascii="Garamond" w:cs="Garamond" w:eastAsia="Garamond" w:hAnsi="Garamond"/>
          <w:b w:val="false"/>
          <w:bCs w:val="false"/>
          <w:i w:val="false"/>
          <w:iCs w:val="false"/>
          <w:color w:val="1A1A1A"/>
          <w:sz w:val="24"/>
          <w:szCs w:val="24"/>
        </w:rPr>
        <w:t xml:space="preserve">The network is not a contact list. The network is a system of relationships that generates information earlier than the market generates it, transactions before the market knows they exist, and referrals from sources that the marketed agent never reaches. The Estate of the Network is the doctrine of building these relationships deliberately — not through presence at networking events, not through social media volume, but through the specific professional value exchange that makes a relationship worth maintaining from both sides.</w:t>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XVI</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Tired Landlord</w:t>
      </w:r>
    </w:p>
    <w:p>
      <w:pPr>
        <w:spacing w:before="60" w:after="300"/>
        <w:jc w:val="left"/>
      </w:pPr>
      <w:r>
        <w:rPr>
          <w:rFonts w:ascii="Garamond" w:cs="Garamond" w:eastAsia="Garamond" w:hAnsi="Garamond"/>
          <w:b w:val="false"/>
          <w:bCs w:val="false"/>
          <w:i/>
          <w:iCs/>
          <w:color w:val="555555"/>
          <w:sz w:val="26"/>
          <w:szCs w:val="26"/>
        </w:rPr>
        <w:t xml:space="preserve">Every market contains a population of residential landlords who are one difficult tenant, one major repair, or one property management frustration away from the decision to sell. The eviction court records, the code enforcement filings, and the rental registration renewals identify this population with a precision that no consumer marketing database can match.</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landlord who is tired does not know they are a seller yet. They are a landlord who is exhausted. The agent who helps them do the math — comparing the net yield of continued ownership to the net proceeds of a sale — frequently discovers that the sale was the better financial decision by a margin the landlord had never calculated.</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The residential landlord population in any market is significantly larger than the landlord-listed property count suggests, because the majority of residential landlords own one to four properties and manage them informally — without professional property management, without systematic financial analysis, and without a clear exit strategy. These landlords are operating businesses without the business infrastructure that would tell them whether the business is actually profitable at current conditions.</w:t>
      </w:r>
    </w:p>
    <w:p>
      <w:pPr>
        <w:spacing w:before="160" w:after="100"/>
        <w:jc w:val="both"/>
      </w:pPr>
      <w:r>
        <w:rPr>
          <w:rFonts w:ascii="Garamond" w:cs="Garamond" w:eastAsia="Garamond" w:hAnsi="Garamond"/>
          <w:b w:val="false"/>
          <w:bCs w:val="false"/>
          <w:i w:val="false"/>
          <w:iCs w:val="false"/>
          <w:color w:val="1A1A1A"/>
          <w:sz w:val="24"/>
          <w:szCs w:val="24"/>
        </w:rPr>
        <w:t xml:space="preserve">The financial reality of small residential landlord operations is frequently worse than the landlord understands. The gross rent looks attractive. The net yield, after property taxes, insurance, maintenance reserves, vacancy, and the specific cost of the landlord's own time managing the property, is frequently in the range of 3-5% on current market value — below what a passive investment in a broad stock index has historically produced. The landlord who has never run the full calculation — who is managing from gross rent rather than net yield — may have been holding a non-optimal investment for years without knowing it.</w:t>
      </w:r>
    </w:p>
    <w:p>
      <w:pPr>
        <w:spacing w:before="160" w:after="100"/>
        <w:jc w:val="both"/>
      </w:pPr>
      <w:r>
        <w:rPr>
          <w:rFonts w:ascii="Garamond" w:cs="Garamond" w:eastAsia="Garamond" w:hAnsi="Garamond"/>
          <w:b w:val="false"/>
          <w:bCs w:val="false"/>
          <w:i w:val="false"/>
          <w:iCs w:val="false"/>
          <w:color w:val="1A1A1A"/>
          <w:sz w:val="24"/>
          <w:szCs w:val="24"/>
        </w:rPr>
        <w:t xml:space="preserve">The exhaustion arrives at a specific threshold that differs by landlord. For some, it is the third tenant who did not pay rent on time in a five-year holding period. For some, it is the HVAC unit that failed in July and cost $8,500 to replace without advance notice. For some, it is the city rental registration renewal that requires a property inspection and identifies code violations that will cost $15,000 to remediate. For some, it is the eviction proceeding that costs $3,500 in legal fees and takes four months to resolve, with no rent during the process. These are not exceptional events. They are the normal events of residential landlord operation. The landlord who encounters them without adequate reserves and without a clear understanding of their alternative has reached the decision threshold.</w:t>
      </w:r>
    </w:p>
    <w:p>
      <w:pPr>
        <w:spacing w:before="160" w:after="100"/>
        <w:jc w:val="both"/>
      </w:pPr>
      <w:r>
        <w:rPr>
          <w:rFonts w:ascii="Garamond" w:cs="Garamond" w:eastAsia="Garamond" w:hAnsi="Garamond"/>
          <w:b w:val="false"/>
          <w:bCs w:val="false"/>
          <w:i w:val="false"/>
          <w:iCs w:val="false"/>
          <w:color w:val="1A1A1A"/>
          <w:sz w:val="24"/>
          <w:szCs w:val="24"/>
        </w:rPr>
        <w:t xml:space="preserve">The eviction court records are the most specific signal of landlord exhaustion available. An eviction filing is a landlord who has a non-paying tenant, has attempted to resolve the situation informally, and has paid to initiate legal proceedings — the signal of a landlord who is past the threshold of informal management. The eviction is also a landlord who is currently experiencing negative cash flow on the property: they are paying the mortgage while not receiving rent, plus paying the legal costs of the eviction, plus bearing the carrying cost of a property that is occupied but not productive.</w:t>
      </w:r>
    </w:p>
    <w:p>
      <w:pPr>
        <w:spacing w:before="160" w:after="100"/>
        <w:jc w:val="both"/>
      </w:pPr>
      <w:r>
        <w:rPr>
          <w:rFonts w:ascii="Garamond" w:cs="Garamond" w:eastAsia="Garamond" w:hAnsi="Garamond"/>
          <w:b w:val="false"/>
          <w:bCs w:val="false"/>
          <w:i w:val="false"/>
          <w:iCs w:val="false"/>
          <w:color w:val="1A1A1A"/>
          <w:sz w:val="24"/>
          <w:szCs w:val="24"/>
        </w:rPr>
        <w:t xml:space="preserve">The agent who contacts the landlord during or after an eviction proceeding is contacting a seller at their peak frustration. This timing requires specific care. The frustrated landlord is not in the analytical frame of mind that the net yield calculation requires. The initial conversation should not be about selling. It should be about the immediate situation. The agent who calls and says "I heard you are dealing with an eviction at [address] — I've helped several landlords in this situation and I'd like to understand your situation and see if there's anything useful I can offer" is not contacting a prospect. They are contacting a professional in need. The response to this contact is disproportionately warm relative to any marketing call.</w:t>
      </w:r>
    </w:p>
    <w:p>
      <w:pPr>
        <w:spacing w:before="160" w:after="100"/>
        <w:jc w:val="both"/>
      </w:pPr>
      <w:r>
        <w:rPr>
          <w:rFonts w:ascii="Garamond" w:cs="Garamond" w:eastAsia="Garamond" w:hAnsi="Garamond"/>
          <w:b w:val="false"/>
          <w:bCs w:val="false"/>
          <w:i w:val="false"/>
          <w:iCs w:val="false"/>
          <w:color w:val="1A1A1A"/>
          <w:sz w:val="24"/>
          <w:szCs w:val="24"/>
        </w:rPr>
        <w:t xml:space="preserve">The net yield calculation presented at the right moment — after the relationship has been established, after the immediate frustration has been validated rather than exploited — frequently produces a decision that the landlord could not have reached without the analysis. The landlord who discovers that their $320,000 property is generating a net yield of 3.2% while the sale would produce $95,000 in equity that could be deployed at a higher yield has encountered a financial insight that changes the holding decision. Not because the agent told them to sell. Because the analysis revealed information they did not have.</w:t>
      </w:r>
    </w:p>
    <w:p>
      <w:pPr>
        <w:spacing w:before="160" w:after="100"/>
        <w:jc w:val="both"/>
      </w:pPr>
      <w:r>
        <w:rPr>
          <w:rFonts w:ascii="Garamond" w:cs="Garamond" w:eastAsia="Garamond" w:hAnsi="Garamond"/>
          <w:b w:val="false"/>
          <w:bCs w:val="false"/>
          <w:i w:val="false"/>
          <w:iCs w:val="false"/>
          <w:color w:val="1A1A1A"/>
          <w:sz w:val="24"/>
          <w:szCs w:val="24"/>
        </w:rPr>
        <w:t xml:space="preserve">The compound of the tired landlord practice: landlords know other landlords. The informal network of small residential landlords in any market is tightly connected — through the same property management forums, the same city rental registration meetings, the same neighborhood landlord associations, the same code enforcement response groups. The agent who is known in this community as the professional who helped a landlord understand their real options — who ran the honest analysis, who treated the eviction situation as a human problem rather than a prospecting opportunity — is known to the entire community within six months. Landlord referrals are among the highest-quality referrals available because they come from peers who have experienced the same situation and who have a specific, credible endorsement.</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Access the eviction court records for your market. Search "[County] eviction filings" or "[County] unlawful detainer filings" — the terminology varies by state. In most jurisdictions, these are public records available online through the court's portal. The filing identifies the plaintiff (the landlord), the property address, and the filing date. Filter for residential properties in your target area. Create a monthly tracking list of new filings.</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The code enforcement database is the second source. Most cities and counties maintain public code enforcement records accessible through the city's online portal or a public records request. Code violations filed against rental properties — particularly habitability violations — are the signal of properties with deferred maintenance combined with tenant occupancy. The landlord who has a code violation issued on an occupied rental is managing a situation that compounds: the cost of the remediation, the possibility of tenant rent withholding under state law, and the specific legal liability of the violation. Contact this landlord.</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The rental registration renewal is available in cities that require landlord registration. The registration list is typically public and is updated annually. The landlord who has owned the same rental property for seven or more years and is renewing their registration for the seventh or eighth time is in the demographic most likely to be approaching the sale decision. The duration of ownership, combined with the increased likelihood of deferred maintenance and tenant relationship fatigue, makes the long-hold landlord the highest-priority contact in the registration list.</w:t>
      </w:r>
    </w:p>
    <w:p>
      <w:pPr>
        <w:spacing w:before="90" w:after="70"/>
        <w:ind w:left="220"/>
      </w:pPr>
      <w:r>
        <w:rPr>
          <w:rFonts w:ascii="Garamond" w:cs="Garamond" w:eastAsia="Garamond" w:hAnsi="Garamond"/>
          <w:b/>
          <w:bCs/>
          <w:i w:val="false"/>
          <w:iCs w:val="false"/>
          <w:color w:val="C4A95A"/>
          <w:sz w:val="22"/>
          <w:szCs w:val="22"/>
        </w:rPr>
        <w:t xml:space="preserve">4.  </w:t>
      </w:r>
      <w:r>
        <w:rPr>
          <w:rFonts w:ascii="Garamond" w:cs="Garamond" w:eastAsia="Garamond" w:hAnsi="Garamond"/>
          <w:b w:val="false"/>
          <w:bCs w:val="false"/>
          <w:i w:val="false"/>
          <w:iCs w:val="false"/>
          <w:color w:val="1A1A1A"/>
          <w:sz w:val="22"/>
          <w:szCs w:val="22"/>
        </w:rPr>
        <w:t xml:space="preserve">The contact approach for the eviction-identified landlord: handwritten note, not a marketing letter. "I noticed you have a matter pending at [court] regarding [address]. I work with several landlords in [area] and I know this situation can be one of the most frustrating in property ownership. I'd like to offer you a brief conversation — not about selling, just about your options for the property under the current circumstances. If that would be useful, my direct number is below." The offer is specific to the situation. The "not about selling" framing is honest — the initial conversation should not be about selling.</w:t>
      </w:r>
    </w:p>
    <w:p>
      <w:pPr>
        <w:spacing w:before="90" w:after="70"/>
        <w:ind w:left="220"/>
      </w:pPr>
      <w:r>
        <w:rPr>
          <w:rFonts w:ascii="Garamond" w:cs="Garamond" w:eastAsia="Garamond" w:hAnsi="Garamond"/>
          <w:b/>
          <w:bCs/>
          <w:i w:val="false"/>
          <w:iCs w:val="false"/>
          <w:color w:val="C4A95A"/>
          <w:sz w:val="22"/>
          <w:szCs w:val="22"/>
        </w:rPr>
        <w:t xml:space="preserve">5.  </w:t>
      </w:r>
      <w:r>
        <w:rPr>
          <w:rFonts w:ascii="Garamond" w:cs="Garamond" w:eastAsia="Garamond" w:hAnsi="Garamond"/>
          <w:b w:val="false"/>
          <w:bCs w:val="false"/>
          <w:i w:val="false"/>
          <w:iCs w:val="false"/>
          <w:color w:val="1A1A1A"/>
          <w:sz w:val="22"/>
          <w:szCs w:val="22"/>
        </w:rPr>
        <w:t xml:space="preserve">The financial analysis presentation: when the relationship has been established and the landlord is in an analytical frame of mind, present the full net yield analysis. Four components: gross annual rent, minus property taxes, insurance, maintenance reserve (typically 10-12% of gross rent for residential rentals), and vacancy reserve (typically 5-8% in stable markets). The net annual income divided by current market value equals the net yield. Compare to the equity deployment alternatives — a passive index fund at 7-10% historical average, a different investment property with a better yield, or the landlord's personal financial priorities. The analysis, run honestly, produces the decision the data supports.</w:t>
      </w:r>
    </w:p>
    <w:p>
      <w:pPr>
        <w:spacing w:before="90" w:after="70"/>
        <w:ind w:left="220"/>
      </w:pPr>
      <w:r>
        <w:rPr>
          <w:rFonts w:ascii="Garamond" w:cs="Garamond" w:eastAsia="Garamond" w:hAnsi="Garamond"/>
          <w:b/>
          <w:bCs/>
          <w:i w:val="false"/>
          <w:iCs w:val="false"/>
          <w:color w:val="C4A95A"/>
          <w:sz w:val="22"/>
          <w:szCs w:val="22"/>
        </w:rPr>
        <w:t xml:space="preserve">6.  </w:t>
      </w:r>
      <w:r>
        <w:rPr>
          <w:rFonts w:ascii="Garamond" w:cs="Garamond" w:eastAsia="Garamond" w:hAnsi="Garamond"/>
          <w:b w:val="false"/>
          <w:bCs w:val="false"/>
          <w:i w:val="false"/>
          <w:iCs w:val="false"/>
          <w:color w:val="1A1A1A"/>
          <w:sz w:val="22"/>
          <w:szCs w:val="22"/>
        </w:rPr>
        <w:t xml:space="preserve">The equity deployment conversation: when the analysis reveals that the sale is financially superior to continued holding, the conversation becomes specific. "If you sold at current market value, you would net approximately $X after commission and closing costs. That $X at [alternative yield] produces [annual income]. Your current net yield is [Y]%. The comparison is worth knowing — even if you decide to hold, you deserve to make that decision with accurate information." This framing respects the landlord's autonomy. It is not a close. It is the provision of information that changes the quality of the decision.</w:t>
      </w:r>
    </w:p>
    <w:p>
      <w:pPr>
        <w:spacing w:before="90" w:after="70"/>
        <w:ind w:left="220"/>
      </w:pPr>
      <w:r>
        <w:rPr>
          <w:rFonts w:ascii="Garamond" w:cs="Garamond" w:eastAsia="Garamond" w:hAnsi="Garamond"/>
          <w:b/>
          <w:bCs/>
          <w:i w:val="false"/>
          <w:iCs w:val="false"/>
          <w:color w:val="C4A95A"/>
          <w:sz w:val="22"/>
          <w:szCs w:val="22"/>
        </w:rPr>
        <w:t xml:space="preserve">7.  </w:t>
      </w:r>
      <w:r>
        <w:rPr>
          <w:rFonts w:ascii="Garamond" w:cs="Garamond" w:eastAsia="Garamond" w:hAnsi="Garamond"/>
          <w:b w:val="false"/>
          <w:bCs w:val="false"/>
          <w:i w:val="false"/>
          <w:iCs w:val="false"/>
          <w:color w:val="1A1A1A"/>
          <w:sz w:val="22"/>
          <w:szCs w:val="22"/>
        </w:rPr>
        <w:t xml:space="preserve">The market for tenant-occupied properties: the tired landlord's property is occupied — which means the sale must be structured to accommodate either the tenant's occupancy through closing and beyond, or a timeline that permits the eviction to resolve before listing. Both structures are manageable for a competent agent. Know the specific legal requirements in your state for selling tenant-occupied properties, including the required notice periods and tenant rights in the sale process. The landlord who asks "but I have a tenant — how does that work?" and receives a complete, accurate answer is encountering professional competence that no one else has provided.</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Agent with systematic tired landlord practice. Same market as standard agent. Two years.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Eviction court monitoring: 8-12 filings per month in target area. First contact within 30 days of filing.</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7</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9.0</w:t>
      </w:r>
      <w:r>
        <w:rPr>
          <w:rFonts w:ascii="Garamond" w:cs="Garamond" w:eastAsia="Garamond" w:hAnsi="Garamond"/>
          <w:b w:val="false"/>
          <w:bCs w:val="false"/>
          <w:i/>
          <w:iCs/>
          <w:color w:val="555555"/>
          <w:sz w:val="18"/>
          <w:szCs w:val="18"/>
        </w:rPr>
        <w:t xml:space="preserve">  — Window before any other agent identifies the seller. Relationship established before the decision is made.</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Net yield analysis: average landlord discovering 2.8% net yield on current value versus 8.1% alternative deployment.</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10.0</w:t>
      </w:r>
      <w:r>
        <w:rPr>
          <w:rFonts w:ascii="Garamond" w:cs="Garamond" w:eastAsia="Garamond" w:hAnsi="Garamond"/>
          <w:b w:val="false"/>
          <w:bCs w:val="false"/>
          <w:i/>
          <w:iCs/>
          <w:color w:val="555555"/>
          <w:sz w:val="18"/>
          <w:szCs w:val="18"/>
        </w:rPr>
        <w:t xml:space="preserve">  — Information the landlord had never had. Decision changes with the information.</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1: 9 listings from tired landlord practice. Average hold period: 8.2 years. Average equity: $118,000.</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10.0</w:t>
      </w:r>
      <w:r>
        <w:rPr>
          <w:rFonts w:ascii="Garamond" w:cs="Garamond" w:eastAsia="Garamond" w:hAnsi="Garamond"/>
          <w:b w:val="false"/>
          <w:bCs w:val="false"/>
          <w:i/>
          <w:iCs/>
          <w:color w:val="555555"/>
          <w:sz w:val="18"/>
          <w:szCs w:val="18"/>
        </w:rPr>
        <w:t xml:space="preserve">  — Motivated sellers. No overpricing. Minimal MLS competition for the listing. Full commission rate.</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Landlord referrals: informal network sends 3 additional contacts year 1.</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10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11.0</w:t>
      </w:r>
      <w:r>
        <w:rPr>
          <w:rFonts w:ascii="Garamond" w:cs="Garamond" w:eastAsia="Garamond" w:hAnsi="Garamond"/>
          <w:b w:val="false"/>
          <w:bCs w:val="false"/>
          <w:i/>
          <w:iCs/>
          <w:color w:val="555555"/>
          <w:sz w:val="18"/>
          <w:szCs w:val="18"/>
        </w:rPr>
        <w:t xml:space="preserve">  — "Call [agent]. They showed me the math and changed my mind about what I was doing with my money."</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2: practice fully established. 14 listings from practice alone.</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14 additional listings. At average commission of $9,200: $128,800 additional GCI from one practice.</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How many residential landlord eviction filings occurred in your target market last month? You do not know — but the courthouse does. What is the specific revenue value of not knowing it over the last three years?</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Tired Landlord Practice</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Month 1: Access eviction records. Access code enforcement database. Access rental registration list where available. Write first-contact notes to top 10 landlords by signal strength. Establish the handwritten note approach. Month 2: complete financial analysis conversations with any respondents. Month 3: present net yield analysis where appropriate. Track landlord referrals as a separate metric. Review and add new contacts monthly. This practice, maintained for two years, produces a landlord referral network that generates listings without any additional prospecting activity.</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XVII</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LLC Dissolution</w:t>
      </w:r>
    </w:p>
    <w:p>
      <w:pPr>
        <w:spacing w:before="60" w:after="300"/>
        <w:jc w:val="left"/>
      </w:pPr>
      <w:r>
        <w:rPr>
          <w:rFonts w:ascii="Garamond" w:cs="Garamond" w:eastAsia="Garamond" w:hAnsi="Garamond"/>
          <w:b w:val="false"/>
          <w:bCs w:val="false"/>
          <w:i/>
          <w:iCs/>
          <w:color w:val="555555"/>
          <w:sz w:val="26"/>
          <w:szCs w:val="26"/>
        </w:rPr>
        <w:t xml:space="preserve">When a real estate investor's LLC files for dissolution, the real property held inside the entity must be addressed. The filing is public. The timeline is specific. The seller's motivation is not about the property — it is about closing a chapter of their professional life. The agent who understands what the dissolution actually means arrives before anyone else and serves at a level no one else can.</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LLC dissolution is not a distress signal. It is an organizational decision with a real property component that most agents never identify. The agent who identifies it contacts a seller who does not know they have already decided.</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The limited liability company is the standard holding structure for residential investment real estate in the United States. It provides liability protection, pass-through taxation, and the organizational clarity that professional property investors require. The majority of residential investment properties with significant equity are held in LLCs rather than in individual names — which means the majority of significant residential investment transactions originate not in an individual seller's decision but in an organizational event.</w:t>
      </w:r>
    </w:p>
    <w:p>
      <w:pPr>
        <w:spacing w:before="160" w:after="100"/>
        <w:jc w:val="both"/>
      </w:pPr>
      <w:r>
        <w:rPr>
          <w:rFonts w:ascii="Garamond" w:cs="Garamond" w:eastAsia="Garamond" w:hAnsi="Garamond"/>
          <w:b w:val="false"/>
          <w:bCs w:val="false"/>
          <w:i w:val="false"/>
          <w:iCs w:val="false"/>
          <w:color w:val="1A1A1A"/>
          <w:sz w:val="24"/>
          <w:szCs w:val="24"/>
        </w:rPr>
        <w:t xml:space="preserve">The LLC dissolution is an organizational event that requires the disposition of all assets held within the entity. When the members of a real estate investment LLC decide to dissolve the entity — for any of the many reasons that drive this decision: the partnership has run its course, the investment thesis has been achieved, one member needs liquidity, tax considerations have shifted, or the entity's purpose has simply been completed — the real property inside the LLC must be addressed. It can be distributed to the members, transferred to a new entity, or sold. The sale is the most common outcome when the members' interests in the property have diverged or when the capital needs to be released.</w:t>
      </w:r>
    </w:p>
    <w:p>
      <w:pPr>
        <w:spacing w:before="160" w:after="100"/>
        <w:jc w:val="both"/>
      </w:pPr>
      <w:r>
        <w:rPr>
          <w:rFonts w:ascii="Garamond" w:cs="Garamond" w:eastAsia="Garamond" w:hAnsi="Garamond"/>
          <w:b w:val="false"/>
          <w:bCs w:val="false"/>
          <w:i w:val="false"/>
          <w:iCs w:val="false"/>
          <w:color w:val="1A1A1A"/>
          <w:sz w:val="24"/>
          <w:szCs w:val="24"/>
        </w:rPr>
        <w:t xml:space="preserve">The LLC dissolution filing is made with the state corporation commission or secretary of state — the same body that originally registered the LLC. It is a public filing. It identifies the entity, its registered agent, and the fact of dissolution. It does not identify the specific real property held inside the entity. The agent who wants to identify the property must cross-reference the LLC name from the dissolution filing against the county assessor's records, where property ownership by LLC name is the standard title holder designation.</w:t>
      </w:r>
    </w:p>
    <w:p>
      <w:pPr>
        <w:spacing w:before="160" w:after="100"/>
        <w:jc w:val="both"/>
      </w:pPr>
      <w:r>
        <w:rPr>
          <w:rFonts w:ascii="Garamond" w:cs="Garamond" w:eastAsia="Garamond" w:hAnsi="Garamond"/>
          <w:b w:val="false"/>
          <w:bCs w:val="false"/>
          <w:i w:val="false"/>
          <w:iCs w:val="false"/>
          <w:color w:val="1A1A1A"/>
          <w:sz w:val="24"/>
          <w:szCs w:val="24"/>
        </w:rPr>
        <w:t xml:space="preserve">The specific seller psychology of the LLC dissolution situation is distinct from any other seller psychology described in this doctrine. The individual homeowner who sells from exhaustion, financial difficulty, or life change is managing a personal financial and emotional situation. The LLC member who is selling as part of an organizational dissolution is managing a professional transition. They are not in distress. They are in conclusion. The agent who enters this situation treats it as a professional conclusion rather than a personal crisis — who brings the organizational and tax awareness that the dissolution context requires rather than the empathy that the individual distress context requires — is providing the right professional intervention for the specific situation.</w:t>
      </w:r>
    </w:p>
    <w:p>
      <w:pPr>
        <w:spacing w:before="160" w:after="100"/>
        <w:jc w:val="both"/>
      </w:pPr>
      <w:r>
        <w:rPr>
          <w:rFonts w:ascii="Garamond" w:cs="Garamond" w:eastAsia="Garamond" w:hAnsi="Garamond"/>
          <w:b w:val="false"/>
          <w:bCs w:val="false"/>
          <w:i w:val="false"/>
          <w:iCs w:val="false"/>
          <w:color w:val="1A1A1A"/>
          <w:sz w:val="24"/>
          <w:szCs w:val="24"/>
        </w:rPr>
        <w:t xml:space="preserve">The tax dimension of the LLC dissolution sale is the area where the competent agent adds value that no other professional has provided. The dissolution sale is frequently a taxable event at multiple levels: the capital gain on the property, the potential recapture of depreciation, and the possible additional taxes triggered by the dissolution itself depending on the LLC's structure and the members' individual tax positions. The agent who has a relationship with a real estate tax professional and who can introduce that professional to the dissolving LLC members — before the sale strategy is determined — is providing a service that prevents the specific financial mistake of selling without understanding the full tax consequence.</w:t>
      </w:r>
    </w:p>
    <w:p>
      <w:pPr>
        <w:spacing w:before="160" w:after="100"/>
        <w:jc w:val="both"/>
      </w:pPr>
      <w:r>
        <w:rPr>
          <w:rFonts w:ascii="Garamond" w:cs="Garamond" w:eastAsia="Garamond" w:hAnsi="Garamond"/>
          <w:b w:val="false"/>
          <w:bCs w:val="false"/>
          <w:i w:val="false"/>
          <w:iCs w:val="false"/>
          <w:color w:val="1A1A1A"/>
          <w:sz w:val="24"/>
          <w:szCs w:val="24"/>
        </w:rPr>
        <w:t xml:space="preserve">The portfolio dimension is the highest-value element of the LLC dissolution practice. When one LLC dissolves, the members of that entity are almost always members of other entities — the active real estate investor who is winding down one LLC is typically managing a portfolio that includes other properties in other structures. The agent who handles the dissolution sale correctly and who demonstrates knowledge of the investor's full situation is not just handling one transaction. They are positioning themselves as the professional who understands the portfolio — which means they are the professional who will be called for every subsequent portfolio transaction.</w:t>
      </w:r>
    </w:p>
    <w:p>
      <w:pPr>
        <w:spacing w:before="160" w:after="100"/>
        <w:jc w:val="both"/>
      </w:pPr>
      <w:r>
        <w:rPr>
          <w:rFonts w:ascii="Garamond" w:cs="Garamond" w:eastAsia="Garamond" w:hAnsi="Garamond"/>
          <w:b w:val="false"/>
          <w:bCs w:val="false"/>
          <w:i w:val="false"/>
          <w:iCs w:val="false"/>
          <w:color w:val="1A1A1A"/>
          <w:sz w:val="24"/>
          <w:szCs w:val="24"/>
        </w:rPr>
        <w:t xml:space="preserve">The off-market opportunity within the dissolution: the LLC dissolution sale is the most natural off-market transaction available. The members who are dissolving an entity are not emotionally attached to a public MLS marketing process. They want the transaction executed professionally and efficiently, at a fair price, with minimal disruption to their other operations. The agent whose investor network includes buyers who match the property profile can frequently match the dissolution seller with a motivated investor buyer before the listing is made public — producing the dual benefit of full commission from the off-market facilitation and the gratitude of both parties for eliminating the public market process.</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Access the LLC dissolution filings for your state. The filing is made with the secretary of state or corporation commission — search "[State] LLC dissolution filings" or "[State] corporation commission dissolved entities." Most states now provide searchable online databases. Filter for entities whose names suggest real estate investment: anything with "Properties," "Realty," "Investments," "Holdings," "Ventures," or a specific address in the name. Pull filings from the last ninety days.</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Cross-reference the LLC name against the county assessor's property records. In the assessor's online database, search the LLC name as the owner. This search returns all properties currently titled in the entity's name. The dissolution filing plus the property record together tell you: this entity owns real property and has decided to dissolve. The real property must be addressed.</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Research the ownership composition if possible through the original formation documents. The formation filing identifies the registered agent, and sometimes the members, depending on the state. The registered agent is often the tax attorney or business attorney who managed the entity — which means the registered agent is the professional most likely to be advising the members on the dissolution process and the most likely to be receptive to an introduction from a real estate professional who can handle the property component.</w:t>
      </w:r>
    </w:p>
    <w:p>
      <w:pPr>
        <w:spacing w:before="90" w:after="70"/>
        <w:ind w:left="220"/>
      </w:pPr>
      <w:r>
        <w:rPr>
          <w:rFonts w:ascii="Garamond" w:cs="Garamond" w:eastAsia="Garamond" w:hAnsi="Garamond"/>
          <w:b/>
          <w:bCs/>
          <w:i w:val="false"/>
          <w:iCs w:val="false"/>
          <w:color w:val="C4A95A"/>
          <w:sz w:val="22"/>
          <w:szCs w:val="22"/>
        </w:rPr>
        <w:t xml:space="preserve">4.  </w:t>
      </w:r>
      <w:r>
        <w:rPr>
          <w:rFonts w:ascii="Garamond" w:cs="Garamond" w:eastAsia="Garamond" w:hAnsi="Garamond"/>
          <w:b w:val="false"/>
          <w:bCs w:val="false"/>
          <w:i w:val="false"/>
          <w:iCs w:val="false"/>
          <w:color w:val="1A1A1A"/>
          <w:sz w:val="22"/>
          <w:szCs w:val="22"/>
        </w:rPr>
        <w:t xml:space="preserve">The contact approach for the LLC dissolution: a business-register professional letter, not a residential marketing letter. The framing should be organizational, not personal. "I noticed that [LLC name] has recently filed for dissolution with the state. I specialize in handling the real property component of LLC dissolutions and I am familiar with the specific considerations that this type of transaction involves — including the tax implications of the sale relative to the dissolution structure. I would welcome a brief conversation with the members or their counsel at their convenience." This framing demonstrates organizational awareness before the conversation begins.</w:t>
      </w:r>
    </w:p>
    <w:p>
      <w:pPr>
        <w:spacing w:before="90" w:after="70"/>
        <w:ind w:left="220"/>
      </w:pPr>
      <w:r>
        <w:rPr>
          <w:rFonts w:ascii="Garamond" w:cs="Garamond" w:eastAsia="Garamond" w:hAnsi="Garamond"/>
          <w:b/>
          <w:bCs/>
          <w:i w:val="false"/>
          <w:iCs w:val="false"/>
          <w:color w:val="C4A95A"/>
          <w:sz w:val="22"/>
          <w:szCs w:val="22"/>
        </w:rPr>
        <w:t xml:space="preserve">5.  </w:t>
      </w:r>
      <w:r>
        <w:rPr>
          <w:rFonts w:ascii="Garamond" w:cs="Garamond" w:eastAsia="Garamond" w:hAnsi="Garamond"/>
          <w:b w:val="false"/>
          <w:bCs w:val="false"/>
          <w:i w:val="false"/>
          <w:iCs w:val="false"/>
          <w:color w:val="1A1A1A"/>
          <w:sz w:val="22"/>
          <w:szCs w:val="22"/>
        </w:rPr>
        <w:t xml:space="preserve">The tax introduction: in the first conversation, ask whether the members have already consulted with their CPA or tax attorney about the specific tax implications of the dissolution sale. If not, offer an introduction to your real estate tax professional relationship. "The tax treatment of the sale — specifically the depreciation recapture and the capital gain calculation relative to the dissolution timing — can significantly affect the net proceeds and the optimal sale timeline. I can introduce you to [CPA name] who specializes in this specific situation if that would be useful." This introduction is a genuine service that changes the financial outcome of the transaction and permanently differentiates you from any other agent the members might consider.</w:t>
      </w:r>
    </w:p>
    <w:p>
      <w:pPr>
        <w:spacing w:before="90" w:after="70"/>
        <w:ind w:left="220"/>
      </w:pPr>
      <w:r>
        <w:rPr>
          <w:rFonts w:ascii="Garamond" w:cs="Garamond" w:eastAsia="Garamond" w:hAnsi="Garamond"/>
          <w:b/>
          <w:bCs/>
          <w:i w:val="false"/>
          <w:iCs w:val="false"/>
          <w:color w:val="C4A95A"/>
          <w:sz w:val="22"/>
          <w:szCs w:val="22"/>
        </w:rPr>
        <w:t xml:space="preserve">6.  </w:t>
      </w:r>
      <w:r>
        <w:rPr>
          <w:rFonts w:ascii="Garamond" w:cs="Garamond" w:eastAsia="Garamond" w:hAnsi="Garamond"/>
          <w:b w:val="false"/>
          <w:bCs w:val="false"/>
          <w:i w:val="false"/>
          <w:iCs w:val="false"/>
          <w:color w:val="1A1A1A"/>
          <w:sz w:val="22"/>
          <w:szCs w:val="22"/>
        </w:rPr>
        <w:t xml:space="preserve">The portfolio inventory conversation: when the relationship is established, ask about the broader portfolio. "Is this the only property you are addressing in this dissolution, or are there other properties in the portfolio that will need to be handled over the next twelve to twenty-four months?" This question identifies the full scope of the opportunity. The answer to this question determines whether you are handling one transaction or the beginning of a portfolio relationship.</w:t>
      </w:r>
    </w:p>
    <w:p>
      <w:pPr>
        <w:spacing w:before="90" w:after="70"/>
        <w:ind w:left="220"/>
      </w:pPr>
      <w:r>
        <w:rPr>
          <w:rFonts w:ascii="Garamond" w:cs="Garamond" w:eastAsia="Garamond" w:hAnsi="Garamond"/>
          <w:b/>
          <w:bCs/>
          <w:i w:val="false"/>
          <w:iCs w:val="false"/>
          <w:color w:val="C4A95A"/>
          <w:sz w:val="22"/>
          <w:szCs w:val="22"/>
        </w:rPr>
        <w:t xml:space="preserve">7.  </w:t>
      </w:r>
      <w:r>
        <w:rPr>
          <w:rFonts w:ascii="Garamond" w:cs="Garamond" w:eastAsia="Garamond" w:hAnsi="Garamond"/>
          <w:b w:val="false"/>
          <w:bCs w:val="false"/>
          <w:i w:val="false"/>
          <w:iCs w:val="false"/>
          <w:color w:val="1A1A1A"/>
          <w:sz w:val="22"/>
          <w:szCs w:val="22"/>
        </w:rPr>
        <w:t xml:space="preserve">The investor buyer matching: for the dissolution property, apply the Active Buyer Profile List from Estate XV. Is there an investor in your network who specifically qualifies for this property? The off-market match — dissolution seller to qualified investor buyer — is the highest-value transaction available in the LLC dissolution practice. Both parties benefit from the elimination of the public process. You benefit from the facilitation that only your network makes possible.</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Agent with LLC dissolution monitoring practice. One identified dissolution. Full outcome.</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LLC dissolution identified from state filing. Property address located in assessor records.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7</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9.0</w:t>
      </w:r>
      <w:r>
        <w:rPr>
          <w:rFonts w:ascii="Garamond" w:cs="Garamond" w:eastAsia="Garamond" w:hAnsi="Garamond"/>
          <w:b w:val="false"/>
          <w:bCs w:val="false"/>
          <w:i/>
          <w:iCs/>
          <w:color w:val="555555"/>
          <w:sz w:val="18"/>
          <w:szCs w:val="18"/>
        </w:rPr>
        <w:t xml:space="preserve">  — First agent to know. No competition. Two months before any market listing would have been visible.</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Registered agent contacted. Tax attorney introduced. Portfolio conversation initiated.</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9.5</w:t>
      </w:r>
      <w:r>
        <w:rPr>
          <w:rFonts w:ascii="Garamond" w:cs="Garamond" w:eastAsia="Garamond" w:hAnsi="Garamond"/>
          <w:b w:val="false"/>
          <w:bCs w:val="false"/>
          <w:i/>
          <w:iCs/>
          <w:color w:val="555555"/>
          <w:sz w:val="18"/>
          <w:szCs w:val="18"/>
        </w:rPr>
        <w:t xml:space="preserve">  — Members: "Our attorney never mentioned we should talk to a real estate agent this early. This is genuinely helpful."</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Tax analysis: depreciation recapture issue identified. Timing recommendation changes net proceeds by $34,000.</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10.5</w:t>
      </w:r>
      <w:r>
        <w:rPr>
          <w:rFonts w:ascii="Garamond" w:cs="Garamond" w:eastAsia="Garamond" w:hAnsi="Garamond"/>
          <w:b w:val="false"/>
          <w:bCs w:val="false"/>
          <w:i/>
          <w:iCs/>
          <w:color w:val="555555"/>
          <w:sz w:val="18"/>
          <w:szCs w:val="18"/>
        </w:rPr>
        <w:t xml:space="preserve">  — The tax insight, delivered before the sale strategy was set, saves the members $34,000. No other agent provided this.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Off-market match: investor buyer in agent's network acquires the property pre-MLS.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10.0</w:t>
      </w:r>
      <w:r>
        <w:rPr>
          <w:rFonts w:ascii="Garamond" w:cs="Garamond" w:eastAsia="Garamond" w:hAnsi="Garamond"/>
          <w:b w:val="false"/>
          <w:bCs w:val="false"/>
          <w:i/>
          <w:iCs/>
          <w:color w:val="555555"/>
          <w:sz w:val="18"/>
          <w:szCs w:val="18"/>
        </w:rPr>
        <w:t xml:space="preserve">  — Both parties prefer the off-market. Agent represents both sides where disclosed and legally permitted.</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Portfolio outcome: members have two additional properties in other LLCs.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Both subsequent transactions handled by the same agent. Total portfolio commission: $86,000 over 18 months.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Referral: members refer two investor colleagues in similar portfolio wind-down situations.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10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10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11.5</w:t>
      </w:r>
      <w:r>
        <w:rPr>
          <w:rFonts w:ascii="Garamond" w:cs="Garamond" w:eastAsia="Garamond" w:hAnsi="Garamond"/>
          <w:b w:val="false"/>
          <w:bCs w:val="false"/>
          <w:i/>
          <w:iCs/>
          <w:color w:val="555555"/>
          <w:sz w:val="18"/>
          <w:szCs w:val="18"/>
        </w:rPr>
        <w:t xml:space="preserve">  — Portfolio referral is the highest-leverage referral available. Each referred investor has the same multi-transaction potential.</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How many LLCs holding residential real estate filed for dissolution in your state last quarter? You do not know — but the secretary of state database does. If each dissolution represents an average of 1.8 transactions, what is the quarterly revenue value of monitoring this database versus not monitoring it?</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LLC Dissolution Practice</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Week 1: Access your state's LLC dissolution database. Pull the last 90 days of filings. Filter for real estate entities. Cross-reference top 10 against assessor records. Week 2: Write professional letters to registered agents or identified members. Week 3: Build the real estate tax professional introduction relationship — identify the CPA in your market who specializes in real estate investor taxation and establish a mutual referral agreement. Month 2: conduct first conversations using the tax introduction approach and portfolio inventory question. The practice matures slowly and compounds geometrically.</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XVIII</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Neighbor Conversation</w:t>
      </w:r>
    </w:p>
    <w:p>
      <w:pPr>
        <w:spacing w:before="60" w:after="300"/>
        <w:jc w:val="left"/>
      </w:pPr>
      <w:r>
        <w:rPr>
          <w:rFonts w:ascii="Garamond" w:cs="Garamond" w:eastAsia="Garamond" w:hAnsi="Garamond"/>
          <w:b w:val="false"/>
          <w:bCs w:val="false"/>
          <w:i/>
          <w:iCs/>
          <w:color w:val="555555"/>
          <w:sz w:val="26"/>
          <w:szCs w:val="26"/>
        </w:rPr>
        <w:t xml:space="preserve">Every property you close is surrounded by twenty homeowners who now know the market is moving, who have been watching the transaction, and who will receive one impression of the agent involved — the impression determined entirely by whether that agent had the specific quality of attention to come to them. Almost no agent does.</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twenty homeowners surrounding your closed listing are not a prospecting target. They are a community that you have just served by proxy. The agent who arrives after the close to share what happened and to ask the genuine question produces the next listing from the neighborhood before the sign comes down.</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Geographic farming is one of the most consistently discussed and least effectively executed practices in residential real estate. Most agents who farm a geographic area do so through mass mail — postcards, market updates, just-listed and just-sold announcements delivered to an undifferentiated mailing list with the expectation that repetition and exposure will eventually produce inbound calls. This approach works, eventually, if sustained for long enough. It is also the most expensive and least efficient way to build geographic presence available.</w:t>
      </w:r>
    </w:p>
    <w:p>
      <w:pPr>
        <w:spacing w:before="160" w:after="100"/>
        <w:jc w:val="both"/>
      </w:pPr>
      <w:r>
        <w:rPr>
          <w:rFonts w:ascii="Garamond" w:cs="Garamond" w:eastAsia="Garamond" w:hAnsi="Garamond"/>
          <w:b w:val="false"/>
          <w:bCs w:val="false"/>
          <w:i w:val="false"/>
          <w:iCs w:val="false"/>
          <w:color w:val="1A1A1A"/>
          <w:sz w:val="24"/>
          <w:szCs w:val="24"/>
        </w:rPr>
        <w:t xml:space="preserve">The approach that produces dramatically better results with dramatically lower cost is the personal neighbor conversation — the specific, individual interaction with homeowners adjacent to and near your closed transactions that converts the transaction into a relationship and the relationship into the next transaction. The closed transaction is the credential. The personal conversation is the claim on the next one.</w:t>
      </w:r>
    </w:p>
    <w:p>
      <w:pPr>
        <w:spacing w:before="160" w:after="100"/>
        <w:jc w:val="both"/>
      </w:pPr>
      <w:r>
        <w:rPr>
          <w:rFonts w:ascii="Garamond" w:cs="Garamond" w:eastAsia="Garamond" w:hAnsi="Garamond"/>
          <w:b w:val="false"/>
          <w:bCs w:val="false"/>
          <w:i w:val="false"/>
          <w:iCs w:val="false"/>
          <w:color w:val="1A1A1A"/>
          <w:sz w:val="24"/>
          <w:szCs w:val="24"/>
        </w:rPr>
        <w:t xml:space="preserve">The just-sold conversation is the highest-credibility prospecting interaction available because it is not prospecting. It is information delivery. The agent who has just closed a transaction in a neighborhood has something genuinely valuable to offer the neighbors: the specific knowledge of what a buyer paid, what competed for the transaction, and what the market conditions mean for the neighbor's own property value. This information is not available anywhere else. It is not on Zillow, which shows listed prices. It is not in the public record until the deed records, weeks after the close. The agent has it immediately and exclusively.</w:t>
      </w:r>
    </w:p>
    <w:p>
      <w:pPr>
        <w:spacing w:before="160" w:after="100"/>
        <w:jc w:val="both"/>
      </w:pPr>
      <w:r>
        <w:rPr>
          <w:rFonts w:ascii="Garamond" w:cs="Garamond" w:eastAsia="Garamond" w:hAnsi="Garamond"/>
          <w:b w:val="false"/>
          <w:bCs w:val="false"/>
          <w:i w:val="false"/>
          <w:iCs w:val="false"/>
          <w:color w:val="1A1A1A"/>
          <w:sz w:val="24"/>
          <w:szCs w:val="24"/>
        </w:rPr>
        <w:t xml:space="preserve">The psychology of the neighbor who receives this conversation is entirely different from the psychology of the homeowner who receives a postcard. The postcard arrives in a marketing context — the homeowner knows they are a prospecting target and their defenses are appropriately calibrated. The neighbor conversation arrives in a relationship context — the agent is sharing specific, locally relevant information with someone who lives nearby, as a neighbor shares information with a neighbor. The guard that is present for the postcard is largely absent for the neighbor conversation. The resulting conversation quality is fundamentally different.</w:t>
      </w:r>
    </w:p>
    <w:p>
      <w:pPr>
        <w:spacing w:before="160" w:after="100"/>
        <w:jc w:val="both"/>
      </w:pPr>
      <w:r>
        <w:rPr>
          <w:rFonts w:ascii="Garamond" w:cs="Garamond" w:eastAsia="Garamond" w:hAnsi="Garamond"/>
          <w:b w:val="false"/>
          <w:bCs w:val="false"/>
          <w:i w:val="false"/>
          <w:iCs w:val="false"/>
          <w:color w:val="1A1A1A"/>
          <w:sz w:val="24"/>
          <w:szCs w:val="24"/>
        </w:rPr>
        <w:t xml:space="preserve">The specific value delivered in the just-sold neighbor conversation has four components. The sale price, which is valuable to the neighbor as a comparable for their own property value. The specific characteristics of the buyer pool — what buyers are willing to pay in this neighborhood for this type of property, and specifically what factors drove the price up or kept it down. The market context — what the absorption rate, the list-to-sale ratio, and the current inventory level mean for the neighbor's specific situation. And the agent's direct availability: "If you have ever thought about where your property sits in this market, I would be happy to run a quick analysis for you — no obligation, just accurate information."</w:t>
      </w:r>
    </w:p>
    <w:p>
      <w:pPr>
        <w:spacing w:before="160" w:after="100"/>
        <w:jc w:val="both"/>
      </w:pPr>
      <w:r>
        <w:rPr>
          <w:rFonts w:ascii="Garamond" w:cs="Garamond" w:eastAsia="Garamond" w:hAnsi="Garamond"/>
          <w:b w:val="false"/>
          <w:bCs w:val="false"/>
          <w:i w:val="false"/>
          <w:iCs w:val="false"/>
          <w:color w:val="1A1A1A"/>
          <w:sz w:val="24"/>
          <w:szCs w:val="24"/>
        </w:rPr>
        <w:t xml:space="preserve">The compound of the neighbor conversation practice: the agent who has a personal conversation with twenty neighbors after every closing is having two hundred forty personal conversations per year from ten annual closings — two hundred forty individual interactions with homeowners in the specific neighborhoods where they are best positioned to serve future clients. The market awareness that accumulates from these conversations is itself a competitive advantage — the agent who has spoken with twenty homeowners in a neighborhood knows things about that neighborhood that no database or digital marketing can reveal. And the agent who has spoken with twenty neighbors is the agent those neighbors call when they have a real estate question, because the agent is the person in their professional experience who took the time to come to them.</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The twenty-five door practice: within forty-eight hours of every closing, visit the twenty-five properties immediately surrounding the closed property. Not a mass mail announcement — a personal door knock with a specific, valuable piece of information. Prepare the door knock card: a simple printed card with the address, the sale price, the days on market, and a one-line context statement about the current market. On the back: your name, direct number, and a handwritten note personalized to the specific property where you are standing.</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The door knock script: "Hi, I'm [name]. I just closed the property at [address] — I wanted to personally share the sale result with the neighbors before it becomes public knowledge. [Specific sale data.] I also wanted to ask — do you have a sense of what your property might be worth in the current market?" The question at the end converts the information delivery from a monologue into a conversation. The homeowner who answers with curiosity has opened the door to the next interaction.</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The neighbor who is "thinking about it" is the highest-priority outcome. The homeowner who receives the just-sold information and says "we have been thinking about selling" has experienced the ideal trigger for the listing conversation. The response: "Then I would love to show you specifically what this sale means for your property. I can do a full analysis and walk you through it — at your convenience, no commitment required." Schedule the appointment before leaving the doorstep.</w:t>
      </w:r>
    </w:p>
    <w:p>
      <w:pPr>
        <w:spacing w:before="90" w:after="70"/>
        <w:ind w:left="220"/>
      </w:pPr>
      <w:r>
        <w:rPr>
          <w:rFonts w:ascii="Garamond" w:cs="Garamond" w:eastAsia="Garamond" w:hAnsi="Garamond"/>
          <w:b/>
          <w:bCs/>
          <w:i w:val="false"/>
          <w:iCs w:val="false"/>
          <w:color w:val="C4A95A"/>
          <w:sz w:val="22"/>
          <w:szCs w:val="22"/>
        </w:rPr>
        <w:t xml:space="preserve">4.  </w:t>
      </w:r>
      <w:r>
        <w:rPr>
          <w:rFonts w:ascii="Garamond" w:cs="Garamond" w:eastAsia="Garamond" w:hAnsi="Garamond"/>
          <w:b w:val="false"/>
          <w:bCs w:val="false"/>
          <w:i w:val="false"/>
          <w:iCs w:val="false"/>
          <w:color w:val="1A1A1A"/>
          <w:sz w:val="22"/>
          <w:szCs w:val="22"/>
        </w:rPr>
        <w:t xml:space="preserve">The neighbor who is not thinking about it is a relationship. The homeowner who is happy where they are and has no immediate sale intention is still a future seller, a referral source, and a market intelligence resource. The interaction should leave a card, a thank-you for their time, and a genuine offer: "If you ever want to know where you stand in the market or have any real estate questions, I'm the person who just closed your neighbor's home — I know this neighborhood better than any agent right now." Simple. Non-pressuring. True.</w:t>
      </w:r>
    </w:p>
    <w:p>
      <w:pPr>
        <w:spacing w:before="90" w:after="70"/>
        <w:ind w:left="220"/>
      </w:pPr>
      <w:r>
        <w:rPr>
          <w:rFonts w:ascii="Garamond" w:cs="Garamond" w:eastAsia="Garamond" w:hAnsi="Garamond"/>
          <w:b/>
          <w:bCs/>
          <w:i w:val="false"/>
          <w:iCs w:val="false"/>
          <w:color w:val="C4A95A"/>
          <w:sz w:val="22"/>
          <w:szCs w:val="22"/>
        </w:rPr>
        <w:t xml:space="preserve">5.  </w:t>
      </w:r>
      <w:r>
        <w:rPr>
          <w:rFonts w:ascii="Garamond" w:cs="Garamond" w:eastAsia="Garamond" w:hAnsi="Garamond"/>
          <w:b w:val="false"/>
          <w:bCs w:val="false"/>
          <w:i w:val="false"/>
          <w:iCs w:val="false"/>
          <w:color w:val="1A1A1A"/>
          <w:sz w:val="22"/>
          <w:szCs w:val="22"/>
        </w:rPr>
        <w:t xml:space="preserve">The twenty-five door visit tracking: log every conversation in a contact management system. Note what was discussed, whether the homeowner expressed any interest in their property's value or any intention to move, and the follow-up timing. Set a follow-up reminder for every homeowner who expressed any interest — typically at thirty days for the actively curious and ninety days for the passively interested.</w:t>
      </w:r>
    </w:p>
    <w:p>
      <w:pPr>
        <w:spacing w:before="90" w:after="70"/>
        <w:ind w:left="220"/>
      </w:pPr>
      <w:r>
        <w:rPr>
          <w:rFonts w:ascii="Garamond" w:cs="Garamond" w:eastAsia="Garamond" w:hAnsi="Garamond"/>
          <w:b/>
          <w:bCs/>
          <w:i w:val="false"/>
          <w:iCs w:val="false"/>
          <w:color w:val="C4A95A"/>
          <w:sz w:val="22"/>
          <w:szCs w:val="22"/>
        </w:rPr>
        <w:t xml:space="preserve">6.  </w:t>
      </w:r>
      <w:r>
        <w:rPr>
          <w:rFonts w:ascii="Garamond" w:cs="Garamond" w:eastAsia="Garamond" w:hAnsi="Garamond"/>
          <w:b w:val="false"/>
          <w:bCs w:val="false"/>
          <w:i w:val="false"/>
          <w:iCs w:val="false"/>
          <w:color w:val="1A1A1A"/>
          <w:sz w:val="22"/>
          <w:szCs w:val="22"/>
        </w:rPr>
        <w:t xml:space="preserve">The second interaction: at the thirty-day or ninety-day follow-up, the contact is warm — the homeowner remembers the door knock because it was unusual, because the information was valuable, and because no other agent has ever come to their door after a closing rather than before a prospecting campaign. "I wanted to follow up on our conversation from last month — the market has moved slightly since the sale at [address] and I wanted to make sure you had the current picture." This follow-up has a context and a purpose. It is not a check-in call. It is continuing information delivery.</w:t>
      </w:r>
    </w:p>
    <w:p>
      <w:pPr>
        <w:spacing w:before="90" w:after="70"/>
        <w:ind w:left="220"/>
      </w:pPr>
      <w:r>
        <w:rPr>
          <w:rFonts w:ascii="Garamond" w:cs="Garamond" w:eastAsia="Garamond" w:hAnsi="Garamond"/>
          <w:b/>
          <w:bCs/>
          <w:i w:val="false"/>
          <w:iCs w:val="false"/>
          <w:color w:val="C4A95A"/>
          <w:sz w:val="22"/>
          <w:szCs w:val="22"/>
        </w:rPr>
        <w:t xml:space="preserve">7.  </w:t>
      </w:r>
      <w:r>
        <w:rPr>
          <w:rFonts w:ascii="Garamond" w:cs="Garamond" w:eastAsia="Garamond" w:hAnsi="Garamond"/>
          <w:b w:val="false"/>
          <w:bCs w:val="false"/>
          <w:i w:val="false"/>
          <w:iCs w:val="false"/>
          <w:color w:val="1A1A1A"/>
          <w:sz w:val="22"/>
          <w:szCs w:val="22"/>
        </w:rPr>
        <w:t xml:space="preserve">The neighbor conversation as a listing appointment precursor: the homeowner who has received two personal interactions from the agent — the just-sold door knock and the thirty-day follow-up — and who is then ready to list their property does not need a listing appointment. They need a listing conversation. The relationship has already been established. The trust has already been built. The listing conversation is the natural next step in a series of interactions that have been building toward it. The agent who has run the neighbor practice consistently finds that their geographic listings require significantly less listing appointment investment — the work was done before the listing was needed.</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Agent with twenty-five door practice versus agent with postcard-only geographic farm. Same neighborhood. Two years.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Postcard agent: $4,800/year in geographic farm mail. 0.3% response rate. 1.4 listings per year.</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7</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w:t>
      </w:r>
      <w:r>
        <w:rPr>
          <w:rFonts w:ascii="Garamond" w:cs="Garamond" w:eastAsia="Garamond" w:hAnsi="Garamond"/>
          <w:b w:val="false"/>
          <w:bCs w:val="false"/>
          <w:i/>
          <w:iCs/>
          <w:color w:val="555555"/>
          <w:sz w:val="18"/>
          <w:szCs w:val="18"/>
        </w:rPr>
        <w:t xml:space="preserve">  — Cost: $4,800. Revenue per listing: $9,200. Net ROI: 269%. Adequate but not excellent.</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Door knock agent: $0 in direct cost. 240 personal conversations per year from 10 closings.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-4</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11.0</w:t>
      </w:r>
      <w:r>
        <w:rPr>
          <w:rFonts w:ascii="Garamond" w:cs="Garamond" w:eastAsia="Garamond" w:hAnsi="Garamond"/>
          <w:b w:val="false"/>
          <w:bCs w:val="false"/>
          <w:i/>
          <w:iCs/>
          <w:color w:val="555555"/>
          <w:sz w:val="18"/>
          <w:szCs w:val="18"/>
        </w:rPr>
        <w:t xml:space="preserve">  — Cost: time only. Listings produced per 240 conversations: 8-12. Net ROI: unmeasurable (no cost base).</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Intangible: door knock agent's market intelligence from 240 conversations.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"I know this neighborhood. I know which homeowners are considering a move. I know what they care about."</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2: door knock agent receives inbound calls from the neighborhood without any additional prospecting.</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10.5</w:t>
      </w:r>
      <w:r>
        <w:rPr>
          <w:rFonts w:ascii="Garamond" w:cs="Garamond" w:eastAsia="Garamond" w:hAnsi="Garamond"/>
          <w:b w:val="false"/>
          <w:bCs w:val="false"/>
          <w:i/>
          <w:iCs/>
          <w:color w:val="555555"/>
          <w:sz w:val="18"/>
          <w:szCs w:val="18"/>
        </w:rPr>
        <w:t xml:space="preserve">  — Homeowners who received two or three interactions now calling proactively. Geographic presence without geographic marketing cost.</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2 combined comparison.</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Door knock agent: 14 listings from the practice. Postcard agent: 2.8 listings. Same neighborhood. Different approach.</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After your last closing, how many of the surrounding twenty-five homeowners did you visit personally with the sale information? If the answer is zero, how many future listings in that neighborhood have you ceded to the agent who will eventually do what you did not?</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Twenty-Five Door Practice</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After every closing, within 48 hours: prepare the door knock card. Print it with specific sale data. Visit all twenty-five surrounding properties. Track every conversation. Follow up within 30 days for every homeowner who expressed any interest in their property value. The practice takes three hours after each closing. Over 10 closings per year, it produces 30 hours of investment and 8-12 additional listings from the neighborhood compound. Three hours per transaction is the lowest-ROI time investment in the business.</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XIX</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Geographic Farm — The Real Version</w:t>
      </w:r>
    </w:p>
    <w:p>
      <w:pPr>
        <w:spacing w:before="60" w:after="300"/>
        <w:jc w:val="left"/>
      </w:pPr>
      <w:r>
        <w:rPr>
          <w:rFonts w:ascii="Garamond" w:cs="Garamond" w:eastAsia="Garamond" w:hAnsi="Garamond"/>
          <w:b w:val="false"/>
          <w:bCs w:val="false"/>
          <w:i/>
          <w:iCs/>
          <w:color w:val="555555"/>
          <w:sz w:val="26"/>
          <w:szCs w:val="26"/>
        </w:rPr>
        <w:t xml:space="preserve">The postcard geographic farm does not fail because the concept is wrong. It fails because it treats a community as a mailing list. The agent who treats a community as a community — who invests in it at a level visible to its members, who shows up for things that have nothing to do with real estate — becomes the real estate professional that community calls because they are the one who is clearly invested in the neighborhood's success. The return on that investment is permanent.</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agent who wants to own a geographic market must first give the market something it actually values. The market values the agent who shows up for the community, not the agent who shows up for the commission. Eventually, the market cannot tell the difference. That is the moment the farm begins to produce.</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The geographic farm as a real estate prospecting concept is sound. The agents who have built dominant market positions in specific neighborhoods have almost universally done so through sustained, systematic geographic focus — by becoming so well known in a specific area that their name is the first one that residents think of when real estate is discussed. The concept works. The implementation fails in most cases because most agents understand geographic dominance as a marketing problem when it is actually a relationship problem.</w:t>
      </w:r>
    </w:p>
    <w:p>
      <w:pPr>
        <w:spacing w:before="160" w:after="100"/>
        <w:jc w:val="both"/>
      </w:pPr>
      <w:r>
        <w:rPr>
          <w:rFonts w:ascii="Garamond" w:cs="Garamond" w:eastAsia="Garamond" w:hAnsi="Garamond"/>
          <w:b w:val="false"/>
          <w:bCs w:val="false"/>
          <w:i w:val="false"/>
          <w:iCs w:val="false"/>
          <w:color w:val="1A1A1A"/>
          <w:sz w:val="24"/>
          <w:szCs w:val="24"/>
        </w:rPr>
        <w:t xml:space="preserve">The difference between the marketing solution and the relationship solution is the difference between being known about and being known. The agent whose postcard arrives monthly in a thousand mailboxes is known about — the residents recognize the name and the face, associate them with real estate, and can recall them when asked. The agent who has attended the neighborhood association meeting, who sponsored the block party, who has a genuine relationship with the local school principal, who donated to the community garden fundraiser, and who volunteers for the neighborhood beautification project is known — the residents associate them not just with real estate but with caring about the neighborhood. When these residents make a real estate decision, they do not look for the agent they know about. They call the agent they know.</w:t>
      </w:r>
    </w:p>
    <w:p>
      <w:pPr>
        <w:spacing w:before="160" w:after="100"/>
        <w:jc w:val="both"/>
      </w:pPr>
      <w:r>
        <w:rPr>
          <w:rFonts w:ascii="Garamond" w:cs="Garamond" w:eastAsia="Garamond" w:hAnsi="Garamond"/>
          <w:b w:val="false"/>
          <w:bCs w:val="false"/>
          <w:i w:val="false"/>
          <w:iCs w:val="false"/>
          <w:color w:val="1A1A1A"/>
          <w:sz w:val="24"/>
          <w:szCs w:val="24"/>
        </w:rPr>
        <w:t xml:space="preserve">The specific mechanisms of community investment that produce geographic dominance are entirely different from the mechanisms of marketing. Marketing is broadcast — the agent transmits to the community and waits for a response. Community investment is engagement — the agent participates in the community's activities, contributes to the community's priorities, and is present at the community's moments in a way that is not possible to fake at scale. The marketing campaign can be delegated to a vendor. The community investment cannot be delegated. It requires the agent's specific presence, which means it requires prioritization.</w:t>
      </w:r>
    </w:p>
    <w:p>
      <w:pPr>
        <w:spacing w:before="160" w:after="100"/>
        <w:jc w:val="both"/>
      </w:pPr>
      <w:r>
        <w:rPr>
          <w:rFonts w:ascii="Garamond" w:cs="Garamond" w:eastAsia="Garamond" w:hAnsi="Garamond"/>
          <w:b w:val="false"/>
          <w:bCs w:val="false"/>
          <w:i w:val="false"/>
          <w:iCs w:val="false"/>
          <w:color w:val="1A1A1A"/>
          <w:sz w:val="24"/>
          <w:szCs w:val="24"/>
        </w:rPr>
        <w:t xml:space="preserve">The prioritization of community investment over marketing spend has a specific financial rationale that most agents never calculate. The geographic farm that is built primarily through marketing spend — postcards, digital advertising, door hangers — costs approximately $4,000-$8,000 per year per target neighborhood. The geographic farm that is built primarily through community investment — volunteer time, modest sponsorships, genuine participation in community activities — costs approximately $500-$1,500 per year in direct expenses plus approximately six to eight hours per month of the agent's time. The marketing farm produces market recognition. The community investment farm produces trusted relationships. The per-listing cost of market recognition is significantly higher than the per-listing cost of trusted relationships.</w:t>
      </w:r>
    </w:p>
    <w:p>
      <w:pPr>
        <w:spacing w:before="160" w:after="100"/>
        <w:jc w:val="both"/>
      </w:pPr>
      <w:r>
        <w:rPr>
          <w:rFonts w:ascii="Garamond" w:cs="Garamond" w:eastAsia="Garamond" w:hAnsi="Garamond"/>
          <w:b w:val="false"/>
          <w:bCs w:val="false"/>
          <w:i w:val="false"/>
          <w:iCs w:val="false"/>
          <w:color w:val="1A1A1A"/>
          <w:sz w:val="24"/>
          <w:szCs w:val="24"/>
        </w:rPr>
        <w:t xml:space="preserve">The compound of the community investment farm: the marketing farm produces a response rate that varies with market conditions and decays when the marketing stops. The community investment farm produces a response rate that grows with the depth of the community's experience of the agent and does not decay when any individual investment activity ends. The neighbor who attended the block party the agent sponsored two years ago still associates the agent with community investment. The neighbor who received postcards two years ago and has not received them recently does not.</w:t>
      </w:r>
    </w:p>
    <w:p>
      <w:pPr>
        <w:spacing w:before="160" w:after="100"/>
        <w:jc w:val="both"/>
      </w:pPr>
      <w:r>
        <w:rPr>
          <w:rFonts w:ascii="Garamond" w:cs="Garamond" w:eastAsia="Garamond" w:hAnsi="Garamond"/>
          <w:b w:val="false"/>
          <w:bCs w:val="false"/>
          <w:i w:val="false"/>
          <w:iCs w:val="false"/>
          <w:color w:val="1A1A1A"/>
          <w:sz w:val="24"/>
          <w:szCs w:val="24"/>
        </w:rPr>
        <w:t xml:space="preserve">The specific activities that produce community presence are available in every neighborhood: the neighborhood association meetings, the local school's fundraising events, the block party or seasonal neighborhood gathering, the local business improvement district activities, the community garden or park stewardship program, and the informal gatherings that every neighborhood has in some form. The agent who participates in these activities at a genuine level — not as a sponsor who shows up for logo placement, but as a member of the community who happens to be in real estate — is building a reputation that the marketing farm cannot replicate.</w:t>
      </w:r>
    </w:p>
    <w:p>
      <w:pPr>
        <w:spacing w:before="160" w:after="100"/>
        <w:jc w:val="both"/>
      </w:pPr>
      <w:r>
        <w:rPr>
          <w:rFonts w:ascii="Garamond" w:cs="Garamond" w:eastAsia="Garamond" w:hAnsi="Garamond"/>
          <w:b w:val="false"/>
          <w:bCs w:val="false"/>
          <w:i w:val="false"/>
          <w:iCs w:val="false"/>
          <w:color w:val="1A1A1A"/>
          <w:sz w:val="24"/>
          <w:szCs w:val="24"/>
        </w:rPr>
        <w:t xml:space="preserve">The community insight generated by genuine participation is a competitive advantage that no database provides. The agent who attended the neighborhood association meeting last month heard the discussion about the proposed development on the northwest corner, the concern about the school redistricting, the plan for the new park amenity, and the informal mention that the family in the corner house is planning to relocate for a new job. This information changes the quality of every real estate conversation the agent has about this neighborhood for the next six months. The agent who reads the meeting notes from a distance receives a fraction of what the agent who was present receives.</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Define the geographic farm: one neighborhood, 500-800 homes, within a fifteen-minute drive of your primary base of operations. Smaller if you are early in your career — 300-400 homes is sufficient to build genuine community presence while maintaining manageable investment. The farm must be a neighborhood with natural community structure: an active neighborhood association, a Facebook group or Nextdoor presence, visible community events, and a density of housing that creates natural neighbor interaction.</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Map the community infrastructure: who are the connectors in this neighborhood? The neighborhood association president. The block captains. The parent volunteer coordinator at the local school. The owner of the local coffee shop or casual restaurant where neighbors gather. The organizer of the annual block party or seasonal event. These are the people whose relationship produces the community presence that no marketing can replicate. Prioritize meeting them in their capacity as community organizers, not as potential real estate clients.</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The community participation plan: identify three activities per month in which you can participate as a community member rather than as a real estate professional. The neighborhood association monthly meeting. The school fundraising committee. The park cleanup day. The business improvement district meeting. The block party planning committee. Participate genuinely. Contribute specifically. Do not make these activities a real estate marketing opportunity — allow the relationship to build through the participation itself. The marketing follows from the relationship. It does not precede it.</w:t>
      </w:r>
    </w:p>
    <w:p>
      <w:pPr>
        <w:spacing w:before="90" w:after="70"/>
        <w:ind w:left="220"/>
      </w:pPr>
      <w:r>
        <w:rPr>
          <w:rFonts w:ascii="Garamond" w:cs="Garamond" w:eastAsia="Garamond" w:hAnsi="Garamond"/>
          <w:b/>
          <w:bCs/>
          <w:i w:val="false"/>
          <w:iCs w:val="false"/>
          <w:color w:val="C4A95A"/>
          <w:sz w:val="22"/>
          <w:szCs w:val="22"/>
        </w:rPr>
        <w:t xml:space="preserve">4.  </w:t>
      </w:r>
      <w:r>
        <w:rPr>
          <w:rFonts w:ascii="Garamond" w:cs="Garamond" w:eastAsia="Garamond" w:hAnsi="Garamond"/>
          <w:b w:val="false"/>
          <w:bCs w:val="false"/>
          <w:i w:val="false"/>
          <w:iCs w:val="false"/>
          <w:color w:val="1A1A1A"/>
          <w:sz w:val="22"/>
          <w:szCs w:val="22"/>
        </w:rPr>
        <w:t xml:space="preserve">The community value contribution: beyond participation, identify one specific thing you can contribute to the community that is not marketing. This contribution should be annually consistent and specifically connected to the community's identified priorities. A scholarship fund for the local school. An annual neighborhood beautification project. Sponsorship of the community garden. The annual block party logistics support. The contribution should be meaningful enough that the community would notice its absence. The agent whose annual contribution becomes part of the neighborhood's annual rhythm has achieved a form of community presence that no marketing budget can purchase.</w:t>
      </w:r>
    </w:p>
    <w:p>
      <w:pPr>
        <w:spacing w:before="90" w:after="70"/>
        <w:ind w:left="220"/>
      </w:pPr>
      <w:r>
        <w:rPr>
          <w:rFonts w:ascii="Garamond" w:cs="Garamond" w:eastAsia="Garamond" w:hAnsi="Garamond"/>
          <w:b/>
          <w:bCs/>
          <w:i w:val="false"/>
          <w:iCs w:val="false"/>
          <w:color w:val="C4A95A"/>
          <w:sz w:val="22"/>
          <w:szCs w:val="22"/>
        </w:rPr>
        <w:t xml:space="preserve">5.  </w:t>
      </w:r>
      <w:r>
        <w:rPr>
          <w:rFonts w:ascii="Garamond" w:cs="Garamond" w:eastAsia="Garamond" w:hAnsi="Garamond"/>
          <w:b w:val="false"/>
          <w:bCs w:val="false"/>
          <w:i w:val="false"/>
          <w:iCs w:val="false"/>
          <w:color w:val="1A1A1A"/>
          <w:sz w:val="22"/>
          <w:szCs w:val="22"/>
        </w:rPr>
        <w:t xml:space="preserve">The Nextdoor and neighborhood Facebook group presence: participate in the digital community exactly as you would participate in the physical community — as a neighbor who happens to have real estate expertise, not as an agent promoting services. When neighbors ask real estate questions, answer them fully and without agenda. When community issues arise that you have relevant knowledge about, contribute it. When neighborhood events are announced, support them publicly. The digital community presence reinforces the physical community presence and reaches the residents who are less active in physical community events.</w:t>
      </w:r>
    </w:p>
    <w:p>
      <w:pPr>
        <w:spacing w:before="90" w:after="70"/>
        <w:ind w:left="220"/>
      </w:pPr>
      <w:r>
        <w:rPr>
          <w:rFonts w:ascii="Garamond" w:cs="Garamond" w:eastAsia="Garamond" w:hAnsi="Garamond"/>
          <w:b/>
          <w:bCs/>
          <w:i w:val="false"/>
          <w:iCs w:val="false"/>
          <w:color w:val="C4A95A"/>
          <w:sz w:val="22"/>
          <w:szCs w:val="22"/>
        </w:rPr>
        <w:t xml:space="preserve">6.  </w:t>
      </w:r>
      <w:r>
        <w:rPr>
          <w:rFonts w:ascii="Garamond" w:cs="Garamond" w:eastAsia="Garamond" w:hAnsi="Garamond"/>
          <w:b w:val="false"/>
          <w:bCs w:val="false"/>
          <w:i w:val="false"/>
          <w:iCs w:val="false"/>
          <w:color w:val="1A1A1A"/>
          <w:sz w:val="22"/>
          <w:szCs w:val="22"/>
        </w:rPr>
        <w:t xml:space="preserve">The real estate knowledge contribution to the community: once per quarter, at the neighborhood association meeting or through the digital community, offer a brief, honest market update specific to the neighborhood — not a self-promotional piece, a genuine analysis of what has been happening to property values in this specific community and why. This contribution positions you as the expert on this community's real estate market in a way that no postcard can. The resident who receives genuine, specific, neighborhood-level information from the same person they see at the block party is receiving a different quality of information and a different kind of professional relationship.</w:t>
      </w:r>
    </w:p>
    <w:p>
      <w:pPr>
        <w:spacing w:before="90" w:after="70"/>
        <w:ind w:left="220"/>
      </w:pPr>
      <w:r>
        <w:rPr>
          <w:rFonts w:ascii="Garamond" w:cs="Garamond" w:eastAsia="Garamond" w:hAnsi="Garamond"/>
          <w:b/>
          <w:bCs/>
          <w:i w:val="false"/>
          <w:iCs w:val="false"/>
          <w:color w:val="C4A95A"/>
          <w:sz w:val="22"/>
          <w:szCs w:val="22"/>
        </w:rPr>
        <w:t xml:space="preserve">7.  </w:t>
      </w:r>
      <w:r>
        <w:rPr>
          <w:rFonts w:ascii="Garamond" w:cs="Garamond" w:eastAsia="Garamond" w:hAnsi="Garamond"/>
          <w:b w:val="false"/>
          <w:bCs w:val="false"/>
          <w:i w:val="false"/>
          <w:iCs w:val="false"/>
          <w:color w:val="1A1A1A"/>
          <w:sz w:val="22"/>
          <w:szCs w:val="22"/>
        </w:rPr>
        <w:t xml:space="preserve">The patience requirement: the geographic farm built through community investment takes longer to produce its first listing from the practice than the geographic farm built through marketing spend. The marketing farm may produce a call within thirty days. The community investment farm may take six months. This is the cost of building something permanent rather than something responsive. At month six, the marketing farm is receiving calls from people who recognize the name from a postcard. The community investment farm is receiving calls from people who trust the person. The per-transaction value of trust-based listings — in commission, in referral rate, and in the depth of the professional relationship — is significantly higher. The patience required at the beginning is funded by the compound that arrives at the end.</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Marketing farm agent versus community investment farm agent. Same neighborhood. Same size. Five years.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1: Marketing farm costs $7,200. Community investment farm costs $1,200 + 8 hours/month.</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Similar initial listing production. Marketing agent: name recognition. Community agent: relationship foundation.</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2: Marketing agent is known about. Community agent is known.</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7</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9.0</w:t>
      </w:r>
      <w:r>
        <w:rPr>
          <w:rFonts w:ascii="Garamond" w:cs="Garamond" w:eastAsia="Garamond" w:hAnsi="Garamond"/>
          <w:b w:val="false"/>
          <w:bCs w:val="false"/>
          <w:i/>
          <w:iCs/>
          <w:color w:val="555555"/>
          <w:sz w:val="18"/>
          <w:szCs w:val="18"/>
        </w:rPr>
        <w:t xml:space="preserve">  — Distinction is not visible in transaction count yet. Visible in call quality: community agent calls are pre-converted.</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3: Marketing agent loses 3 listings to agents offering better marketing packages.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4</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6</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0.5</w:t>
      </w:r>
      <w:r>
        <w:rPr>
          <w:rFonts w:ascii="Garamond" w:cs="Garamond" w:eastAsia="Garamond" w:hAnsi="Garamond"/>
          <w:b w:val="false"/>
          <w:bCs w:val="false"/>
          <w:i/>
          <w:iCs/>
          <w:color w:val="555555"/>
          <w:sz w:val="18"/>
          <w:szCs w:val="18"/>
        </w:rPr>
        <w:t xml:space="preserve">  — Marketing farm is defensible only by more marketing. The competition can always outspend.</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3: Community investment agent: "We wouldn't call anyone else. You show up for this neighborhood."</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10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11.0</w:t>
      </w:r>
      <w:r>
        <w:rPr>
          <w:rFonts w:ascii="Garamond" w:cs="Garamond" w:eastAsia="Garamond" w:hAnsi="Garamond"/>
          <w:b w:val="false"/>
          <w:bCs w:val="false"/>
          <w:i/>
          <w:iCs/>
          <w:color w:val="555555"/>
          <w:sz w:val="18"/>
          <w:szCs w:val="18"/>
        </w:rPr>
        <w:t xml:space="preserve">  — Community investment farm is not defensible by spending. The competition cannot outspend genuine relationships.</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5 comparison: listings per year from farm activity.</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Marketing farm: 6-8 listings. Community investment farm: 14-18 listings. Same neighborhood, same size.</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5 commission comparison.</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Marketing farm: full rate on 65% of listings. Community investment farm: full rate on 94% of listings. Community agents do not negotiate commission with people who trust them.</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In your geographic target area: when did you last attend a neighborhood association meeting? When did you last contribute to a community event without any marketing agenda? If the answer to either is "never," what specifically is your plan to establish genuine community presence — and what specifically are you waiting for?</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Community Investment Farm</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Month 1: Define the farm. Map the community infrastructure. Identify the three connectors. Attend the first neighborhood association meeting. Introduce yourself as a neighbor who is in real estate — not as an agent who wants to prospect the neighborhood. Month 2: identify the three monthly participation activities. Begin attending consistently. Month 3: make the first specific community contribution — the school event sponsorship, the park cleanup, the whatever-the-community-needs. Month 6: begin the quarterly neighborhood market update at the association meeting. Year 2: the farm starts producing. Year 5: the farm is self-sustaining. The timeline is long. The compound is permanent. There is no equivalent investment available.</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80"/>
        <w:jc w:val="center"/>
      </w:pPr>
      <w:r>
        <w:rPr>
          <w:rFonts w:ascii="Garamond" w:cs="Garamond" w:eastAsia="Garamond" w:hAnsi="Garamond"/>
          <w:b/>
          <w:bCs/>
          <w:i w:val="false"/>
          <w:iCs w:val="false"/>
          <w:color w:val="C4A95A"/>
          <w:sz w:val="52"/>
          <w:szCs w:val="52"/>
        </w:rPr>
        <w:t xml:space="preserve">BOOK V</w:t>
      </w:r>
    </w:p>
    <w:p>
      <w:pPr>
        <w:spacing w:before="0" w:after="100"/>
        <w:jc w:val="center"/>
      </w:pPr>
      <w:r>
        <w:rPr>
          <w:rFonts w:ascii="Garamond" w:cs="Garamond" w:eastAsia="Garamond" w:hAnsi="Garamond"/>
          <w:b/>
          <w:bCs/>
          <w:i w:val="false"/>
          <w:iCs w:val="false"/>
          <w:color w:val="0A0A0A"/>
          <w:sz w:val="52"/>
          <w:szCs w:val="52"/>
        </w:rPr>
        <w:t xml:space="preserve">THE ESTATE OF MONEY</w:t>
      </w:r>
    </w:p>
    <w:p>
      <w:pPr>
        <w:pBdr>
          <w:bottom w:val="single" w:color="C4A95A" w:sz="6" w:space="8"/>
        </w:pBdr>
        <w:spacing w:before="0" w:after="200"/>
        <w:jc w:val="center"/>
      </w:pPr>
      <w:r>
        <w:rPr>
          <w:rFonts w:ascii="Garamond" w:cs="Garamond" w:eastAsia="Garamond" w:hAnsi="Garamond"/>
          <w:b w:val="false"/>
          <w:bCs w:val="false"/>
          <w:i/>
          <w:iCs/>
          <w:color w:val="555555"/>
          <w:sz w:val="28"/>
          <w:szCs w:val="28"/>
        </w:rPr>
        <w:t xml:space="preserve">What it actually costs to be a real estate agent. What it actually builds.</w:t>
      </w:r>
    </w:p>
    <w:p>
      <w:pPr>
        <w:spacing w:before="160" w:after="100"/>
        <w:jc w:val="both"/>
      </w:pPr>
      <w:r>
        <w:rPr>
          <w:rFonts w:ascii="Garamond" w:cs="Garamond" w:eastAsia="Garamond" w:hAnsi="Garamond"/>
          <w:b w:val="false"/>
          <w:bCs w:val="false"/>
          <w:i w:val="false"/>
          <w:iCs w:val="false"/>
          <w:color w:val="1A1A1A"/>
          <w:sz w:val="24"/>
          <w:szCs w:val="24"/>
        </w:rPr>
        <w:t xml:space="preserve">The money doctrine is the doctrine most agents avoid because it requires them to look at the business with the same precision they recommend to their clients. The GCI number is comfortable. The net number — after the government takes what it is owed, after the business takes what it requires, after the lifestyle consumes what it will — is frequently uncomfortable. The agent who runs the real numbers runs the real business. The agent who runs the comfortable numbers runs an illusion that eventually becomes a crisis.</w:t>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XX</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Commission Tax Trap</w:t>
      </w:r>
    </w:p>
    <w:p>
      <w:pPr>
        <w:spacing w:before="60" w:after="300"/>
        <w:jc w:val="left"/>
      </w:pPr>
      <w:r>
        <w:rPr>
          <w:rFonts w:ascii="Garamond" w:cs="Garamond" w:eastAsia="Garamond" w:hAnsi="Garamond"/>
          <w:b w:val="false"/>
          <w:bCs w:val="false"/>
          <w:i/>
          <w:iCs/>
          <w:color w:val="555555"/>
          <w:sz w:val="26"/>
          <w:szCs w:val="26"/>
        </w:rPr>
        <w:t xml:space="preserve">The residential real estate agent who earns $180,000 in gross commissions and does nothing specific about the tax structure they operate in will keep approximately $112,000 of it before personal expenses. The agent who earns the same $180,000 and runs the correct business structure will keep approximately $143,000. The $31,000 difference is not a tax planning secret. It is four decisions that every agent can make and almost none do.</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income tax system was not designed for the self-employed agent. It was designed to extract maximum tax from the self-employed agent who does not know how it works. The agent who learns how it works keeps an additional $25,000-$40,000 per year without earning one additional dollar of commission.</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The residential real estate agent is, by default, a sole proprietor — a self-employed individual who reports business income and expense on Schedule C of their personal federal income tax return. This structure is the default because it requires no action to establish. It is also the most expensive business structure available to the agent who earns above approximately $80,000 in net income, because it subjects 100% of the net profit to the 15.3% self-employment tax (the combined employee and employer portion of Social Security and Medicare) in addition to ordinary income tax at the agent's marginal rate.</w:t>
      </w:r>
    </w:p>
    <w:p>
      <w:pPr>
        <w:spacing w:before="160" w:after="100"/>
        <w:jc w:val="both"/>
      </w:pPr>
      <w:r>
        <w:rPr>
          <w:rFonts w:ascii="Garamond" w:cs="Garamond" w:eastAsia="Garamond" w:hAnsi="Garamond"/>
          <w:b w:val="false"/>
          <w:bCs w:val="false"/>
          <w:i w:val="false"/>
          <w:iCs w:val="false"/>
          <w:color w:val="1A1A1A"/>
          <w:sz w:val="24"/>
          <w:szCs w:val="24"/>
        </w:rPr>
        <w:t xml:space="preserve">The S-corporation election converts the agency business from a sole proprietorship to an S-corp — a pass-through entity that pays the agent a reasonable salary for their services and distributes the remaining profit as a distribution rather than as self-employment income. The distribution is not subject to the 15.3% self-employment tax. The salary is subject to payroll taxes — but only on the salary portion, not the full net profit. The tax savings from the S-corp election, for an agent earning $120,000 or more in net profit, is typically $8,000-$22,000 per year. This is a permanent annual savings that compounds across the career.</w:t>
      </w:r>
    </w:p>
    <w:p>
      <w:pPr>
        <w:spacing w:before="160" w:after="100"/>
        <w:jc w:val="both"/>
      </w:pPr>
      <w:r>
        <w:rPr>
          <w:rFonts w:ascii="Garamond" w:cs="Garamond" w:eastAsia="Garamond" w:hAnsi="Garamond"/>
          <w:b w:val="false"/>
          <w:bCs w:val="false"/>
          <w:i w:val="false"/>
          <w:iCs w:val="false"/>
          <w:color w:val="1A1A1A"/>
          <w:sz w:val="24"/>
          <w:szCs w:val="24"/>
        </w:rPr>
        <w:t xml:space="preserve">The home office deduction is the most consistently underutilized deduction available to the self-employed agent. The agent who uses a specific area of their home regularly and exclusively for business purposes can deduct a proportional share of the home's operating costs — mortgage interest or rent, utilities, insurance, and repairs — as a business expense. The area must be genuinely dedicated to business use: the kitchen table where you sometimes answer emails does not qualify. The room that contains your desk, your files, and your professional materials, which is not used for personal purposes, qualifies. In most homes, this deduction produces an additional $2,500-$7,000 in annual deductible expenses.</w:t>
      </w:r>
    </w:p>
    <w:p>
      <w:pPr>
        <w:spacing w:before="160" w:after="100"/>
        <w:jc w:val="both"/>
      </w:pPr>
      <w:r>
        <w:rPr>
          <w:rFonts w:ascii="Garamond" w:cs="Garamond" w:eastAsia="Garamond" w:hAnsi="Garamond"/>
          <w:b w:val="false"/>
          <w:bCs w:val="false"/>
          <w:i w:val="false"/>
          <w:iCs w:val="false"/>
          <w:color w:val="1A1A1A"/>
          <w:sz w:val="24"/>
          <w:szCs w:val="24"/>
        </w:rPr>
        <w:t xml:space="preserve">The SEP-IRA or Solo 401(k) is the mechanism through which the self-employed agent makes the most powerful investment in their financial future while simultaneously reducing their current-year tax liability. The SEP-IRA allows the agent to contribute up to 25% of net self-employment income, to a maximum of $66,000 per year (2023 limit, adjusted annually). The contribution is fully deductible from business income. The agent who contributes $25,000 to a SEP-IRA in a year when their marginal tax rate is 32% has reduced their federal tax liability by $8,000 in that contribution year, while simultaneously building the retirement fund that the career makes possible.</w:t>
      </w:r>
    </w:p>
    <w:p>
      <w:pPr>
        <w:spacing w:before="160" w:after="100"/>
        <w:jc w:val="both"/>
      </w:pPr>
      <w:r>
        <w:rPr>
          <w:rFonts w:ascii="Garamond" w:cs="Garamond" w:eastAsia="Garamond" w:hAnsi="Garamond"/>
          <w:b w:val="false"/>
          <w:bCs w:val="false"/>
          <w:i w:val="false"/>
          <w:iCs w:val="false"/>
          <w:color w:val="1A1A1A"/>
          <w:sz w:val="24"/>
          <w:szCs w:val="24"/>
        </w:rPr>
        <w:t xml:space="preserve">The mileage log is the most consistently abandoned deduction available, because it requires discipline to maintain and produces a benefit that feels small relative to the effort. The agent who drives 20,000 business miles per year, deducted at the IRS standard mileage rate (67 cents per mile in 2024), produces a $13,400 deduction from business income. At a 32% combined federal and state tax rate, this deduction saves $4,288 in annual taxes. The mileage log that produces this savings requires sixty seconds per day — the time to enter the odometer reading and the business purpose of the drive.</w:t>
      </w:r>
    </w:p>
    <w:p>
      <w:pPr>
        <w:spacing w:before="160" w:after="100"/>
        <w:jc w:val="both"/>
      </w:pPr>
      <w:r>
        <w:rPr>
          <w:rFonts w:ascii="Garamond" w:cs="Garamond" w:eastAsia="Garamond" w:hAnsi="Garamond"/>
          <w:b w:val="false"/>
          <w:bCs w:val="false"/>
          <w:i w:val="false"/>
          <w:iCs w:val="false"/>
          <w:color w:val="1A1A1A"/>
          <w:sz w:val="24"/>
          <w:szCs w:val="24"/>
        </w:rPr>
        <w:t xml:space="preserve">The health insurance deduction is the mechanism that makes the self-employed agent's health insurance genuinely affordable rather than an after-tax expense that produces sticker shock. Self-employed individuals can deduct 100% of health insurance premiums paid for themselves and their family members from their personal income (not on Schedule C, but as an adjustment to gross income). The agent paying $14,400 per year in health insurance premiums for family coverage can deduct that entire amount from taxable income, producing a federal tax savings of approximately $4,600 at a 32% marginal rate.</w:t>
      </w:r>
    </w:p>
    <w:p>
      <w:pPr>
        <w:spacing w:before="160" w:after="100"/>
        <w:jc w:val="both"/>
      </w:pPr>
      <w:r>
        <w:rPr>
          <w:rFonts w:ascii="Garamond" w:cs="Garamond" w:eastAsia="Garamond" w:hAnsi="Garamond"/>
          <w:b w:val="false"/>
          <w:bCs w:val="false"/>
          <w:i w:val="false"/>
          <w:iCs w:val="false"/>
          <w:color w:val="1A1A1A"/>
          <w:sz w:val="24"/>
          <w:szCs w:val="24"/>
        </w:rPr>
        <w:t xml:space="preserve">The four decisions taken together — S-corp election, home office deduction, SEP-IRA contribution, mileage log discipline — produce combined annual tax savings of $25,000-$45,000 for the agent earning $150,000-$250,000 in GCI. These savings are not available through income tax rate reduction, which requires political decisions outside the agent's control. They are available through legal business structure decisions, every one of which is within the agent's complete control, and none of which require any additional income to produce. The agent who implements all four is keeping an additional $25,000-$45,000 per year of money they have already earned.</w:t>
      </w:r>
    </w:p>
    <w:p>
      <w:pPr>
        <w:spacing w:before="160" w:after="100"/>
        <w:jc w:val="both"/>
      </w:pPr>
      <w:r>
        <w:rPr>
          <w:rFonts w:ascii="Garamond" w:cs="Garamond" w:eastAsia="Garamond" w:hAnsi="Garamond"/>
          <w:b w:val="false"/>
          <w:bCs w:val="false"/>
          <w:i w:val="false"/>
          <w:iCs w:val="false"/>
          <w:color w:val="1A1A1A"/>
          <w:sz w:val="24"/>
          <w:szCs w:val="24"/>
        </w:rPr>
        <w:t xml:space="preserve">The advisor relationship is the key that unlocks the four decisions. The general CPA who files the agent's personal taxes and who does not specialize in self-employed real estate professionals will not proactively recommend S-corp election, will not calculate the home office deduction, will not optimize the SEP-IRA contribution, and will not ask about mileage. Not because they are negligent — because they are generalists, and the optimization of the self-employed agent's tax structure requires a specialist. The investment in a CPA who specializes in real estate professionals typically costs $1,500-$3,000 more per year than the generalist CPA. It returns $25,000-$45,000 in tax savings. The math is not close.</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Calculate your actual effective tax rate from last year's return. Total tax paid (federal + state + self-employment) divided by gross commission income. If the number exceeds 28% and you are operating as a sole proprietor without an S-corp election, you are almost certainly in the highest-cost tax structure available to you. The S-corp analysis, conducted by a CPA who specializes in real estate professionals, will determine whether the election is beneficial at your specific income level.</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The S-corp election requires filing Form 2553 with the IRS, typically within 75 days of the tax year in which you want the election to be effective. The election converts your business from a Schedule C sole proprietorship to an S-corp that pays you a reasonable salary and passes the remaining profit through as a distribution. Engage a real-estate-specialist CPA this month to determine whether the election is optimal at your income level and to set up the correct payroll structure if it is.</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The home office setup: identify a specific room or defined area in your home that is used regularly and exclusively for your real estate business. Document this area — photograph it, measure it. Calculate the percentage of your home's total square footage that it represents. Apply this percentage to the annual costs of operating the home: mortgage interest or rent, utilities, homeowner's or renter's insurance, and relevant repairs and maintenance. This produces the annual home office deduction. Document the calculation and maintain it with the photographic evidence.</w:t>
      </w:r>
    </w:p>
    <w:p>
      <w:pPr>
        <w:spacing w:before="90" w:after="70"/>
        <w:ind w:left="220"/>
      </w:pPr>
      <w:r>
        <w:rPr>
          <w:rFonts w:ascii="Garamond" w:cs="Garamond" w:eastAsia="Garamond" w:hAnsi="Garamond"/>
          <w:b/>
          <w:bCs/>
          <w:i w:val="false"/>
          <w:iCs w:val="false"/>
          <w:color w:val="C4A95A"/>
          <w:sz w:val="22"/>
          <w:szCs w:val="22"/>
        </w:rPr>
        <w:t xml:space="preserve">4.  </w:t>
      </w:r>
      <w:r>
        <w:rPr>
          <w:rFonts w:ascii="Garamond" w:cs="Garamond" w:eastAsia="Garamond" w:hAnsi="Garamond"/>
          <w:b w:val="false"/>
          <w:bCs w:val="false"/>
          <w:i w:val="false"/>
          <w:iCs w:val="false"/>
          <w:color w:val="1A1A1A"/>
          <w:sz w:val="22"/>
          <w:szCs w:val="22"/>
        </w:rPr>
        <w:t xml:space="preserve">The mileage log implementation: use a dedicated mileage tracking app — MileIQ, Everlance, or the built-in mileage tracking in QuickBooks Self-Employed. Enable automatic tracking. Review and categorize weekly. The app does the work if you let it. The agent who argues that mileage tracking is too burdensome is making a decision to donate approximately $4,000-$6,000 per year to the government rather than spend sixty seconds per day on their phone.</w:t>
      </w:r>
    </w:p>
    <w:p>
      <w:pPr>
        <w:spacing w:before="90" w:after="70"/>
        <w:ind w:left="220"/>
      </w:pPr>
      <w:r>
        <w:rPr>
          <w:rFonts w:ascii="Garamond" w:cs="Garamond" w:eastAsia="Garamond" w:hAnsi="Garamond"/>
          <w:b/>
          <w:bCs/>
          <w:i w:val="false"/>
          <w:iCs w:val="false"/>
          <w:color w:val="C4A95A"/>
          <w:sz w:val="22"/>
          <w:szCs w:val="22"/>
        </w:rPr>
        <w:t xml:space="preserve">5.  </w:t>
      </w:r>
      <w:r>
        <w:rPr>
          <w:rFonts w:ascii="Garamond" w:cs="Garamond" w:eastAsia="Garamond" w:hAnsi="Garamond"/>
          <w:b w:val="false"/>
          <w:bCs w:val="false"/>
          <w:i w:val="false"/>
          <w:iCs w:val="false"/>
          <w:color w:val="1A1A1A"/>
          <w:sz w:val="22"/>
          <w:szCs w:val="22"/>
        </w:rPr>
        <w:t xml:space="preserve">The SEP-IRA calculation: determine your net self-employment income for the year (gross commission less business expenses). Calculate 25% of this number (for a sole proprietor, the actual calculation is 20% of net profit after the deductible portion of SE tax — your CPA handles this). Contribute this amount, up to the annual maximum, to a SEP-IRA before the tax filing deadline (including extensions). The contribution reduces taxable income dollar-for-dollar. Open the SEP-IRA at any major brokerage — Fidelity, Vanguard, Schwab. It takes thirty minutes.</w:t>
      </w:r>
    </w:p>
    <w:p>
      <w:pPr>
        <w:spacing w:before="90" w:after="70"/>
        <w:ind w:left="220"/>
      </w:pPr>
      <w:r>
        <w:rPr>
          <w:rFonts w:ascii="Garamond" w:cs="Garamond" w:eastAsia="Garamond" w:hAnsi="Garamond"/>
          <w:b/>
          <w:bCs/>
          <w:i w:val="false"/>
          <w:iCs w:val="false"/>
          <w:color w:val="C4A95A"/>
          <w:sz w:val="22"/>
          <w:szCs w:val="22"/>
        </w:rPr>
        <w:t xml:space="preserve">6.  </w:t>
      </w:r>
      <w:r>
        <w:rPr>
          <w:rFonts w:ascii="Garamond" w:cs="Garamond" w:eastAsia="Garamond" w:hAnsi="Garamond"/>
          <w:b w:val="false"/>
          <w:bCs w:val="false"/>
          <w:i w:val="false"/>
          <w:iCs w:val="false"/>
          <w:color w:val="1A1A1A"/>
          <w:sz w:val="22"/>
          <w:szCs w:val="22"/>
        </w:rPr>
        <w:t xml:space="preserve">The quarterly estimated tax payment discipline: the agent who fails to make adequate quarterly estimated tax payments faces an underpayment penalty in addition to the year-end tax bill. The correct quarterly payment is based on either the prior year's total tax liability or 90% of the current year's anticipated liability, whichever is lower. Budget monthly into a dedicated tax savings account — a separate account from operating expenses — 28-35% of every commission received. Pay the quarterly estimates from this account. Never commingle the tax money with operating funds.</w:t>
      </w:r>
    </w:p>
    <w:p>
      <w:pPr>
        <w:spacing w:before="90" w:after="70"/>
        <w:ind w:left="220"/>
      </w:pPr>
      <w:r>
        <w:rPr>
          <w:rFonts w:ascii="Garamond" w:cs="Garamond" w:eastAsia="Garamond" w:hAnsi="Garamond"/>
          <w:b/>
          <w:bCs/>
          <w:i w:val="false"/>
          <w:iCs w:val="false"/>
          <w:color w:val="C4A95A"/>
          <w:sz w:val="22"/>
          <w:szCs w:val="22"/>
        </w:rPr>
        <w:t xml:space="preserve">7.  </w:t>
      </w:r>
      <w:r>
        <w:rPr>
          <w:rFonts w:ascii="Garamond" w:cs="Garamond" w:eastAsia="Garamond" w:hAnsi="Garamond"/>
          <w:b w:val="false"/>
          <w:bCs w:val="false"/>
          <w:i w:val="false"/>
          <w:iCs w:val="false"/>
          <w:color w:val="1A1A1A"/>
          <w:sz w:val="22"/>
          <w:szCs w:val="22"/>
        </w:rPr>
        <w:t xml:space="preserve">The annual tax planning session: schedule a dedicated tax planning meeting with your real estate-specialist CPA in October of every year — not in April after the tax year has closed. The October meeting is the one at which the remaining decisions for the current tax year can still be implemented: additional SEP-IRA contributions before year-end, timing of deductible expenses to optimize the year, and assessment of estimated payment accuracy. The April meeting is a reporting event. The October meeting is a planning event. Planning is where the money is saved.</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Same GCI: $200,000. Two agents. Different tax structures. One year.</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A: Sole proprietor. No S-corp. No home office. No SEP-IRA. No mileage log.</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1</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-2.5</w:t>
      </w:r>
      <w:r>
        <w:rPr>
          <w:rFonts w:ascii="Garamond" w:cs="Garamond" w:eastAsia="Garamond" w:hAnsi="Garamond"/>
          <w:b w:val="false"/>
          <w:bCs w:val="false"/>
          <w:i/>
          <w:iCs/>
          <w:color w:val="555555"/>
          <w:sz w:val="18"/>
          <w:szCs w:val="18"/>
        </w:rPr>
        <w:t xml:space="preserve">  — Effective tax rate: 34%. Total tax paid: $68,000. Net after tax before personal expenses: $132,000.</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B: S-corp. Home office deduction $6,200. SEP-IRA $28,000. Mileage deduction $13,400.</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10.0</w:t>
      </w:r>
      <w:r>
        <w:rPr>
          <w:rFonts w:ascii="Garamond" w:cs="Garamond" w:eastAsia="Garamond" w:hAnsi="Garamond"/>
          <w:b w:val="false"/>
          <w:bCs w:val="false"/>
          <w:i/>
          <w:iCs/>
          <w:color w:val="555555"/>
          <w:sz w:val="18"/>
          <w:szCs w:val="18"/>
        </w:rPr>
        <w:t xml:space="preserve">  — Effective tax rate: 22%. Total tax paid: $44,000. Net after tax before personal expenses: $156,000.</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Annual difference: $24,000.</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$24,000 more per year. Compounded at 7% over 20 years: $985,000. The tax structure decision is a million-dollar decision.</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SEP-IRA compound: $28,000/year at 7% over 20 years.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$1,145,000 in retirement assets from the SEP-IRA alone. Built from money that was going to the government.</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10 comparison: Agent A vs Agent B. Same GCI trajectory.</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Agent A: $340,000 in accumulated unnecessary tax payments over 10 years. Agent B: $340,000 invested. The gap is permanent.</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What is your current effective tax rate on your gross commission income? If you do not know the exact number, you are managing the largest expense in your business without looking at it. Run the number tonight. Then determine: are you in the optimal tax structure for your income level?</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Tax Structure Audit</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This month: identify a CPA who specializes in self-employed real estate professionals. Not a generalist — a specialist. Ask specifically about the S-corp election, the home office deduction, the SEP-IRA, and the mileage log. In the first meeting, present your last year's Schedule C and ask for a tax structure analysis. The cost of this meeting: $300-$500. The return from implementing the recommendations: $25,000-$45,000 per year. This is the highest-return hour available in the financial management of the career.</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XXI</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Income Channels Beyond the Commission</w:t>
      </w:r>
    </w:p>
    <w:p>
      <w:pPr>
        <w:spacing w:before="60" w:after="300"/>
        <w:jc w:val="left"/>
      </w:pPr>
      <w:r>
        <w:rPr>
          <w:rFonts w:ascii="Garamond" w:cs="Garamond" w:eastAsia="Garamond" w:hAnsi="Garamond"/>
          <w:b w:val="false"/>
          <w:bCs w:val="false"/>
          <w:i/>
          <w:iCs/>
          <w:color w:val="555555"/>
          <w:sz w:val="26"/>
          <w:szCs w:val="26"/>
        </w:rPr>
        <w:t xml:space="preserve">The agent who earns from one channel is one market cycle away from a financial crisis. The agent who earns from five channels has built a financial architecture that the market cannot disable. The five channels exist for every agent in every market. Almost none are being used.</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commission is not a business model. It is a revenue event. The business model is the architecture of income sources that produces revenue across market conditions, across transaction volume cycles, and across the specific months when the pipeline is thin.</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The residential real estate career is structurally vulnerable in a way that most agents do not examine until the vulnerability is tested. The commission income is entirely dependent on transaction volume. The transaction volume is dependent on the market — the interest rate environment, the employment market, the consumer confidence level, the local inventory conditions. When these variables produce a transaction volume reduction, as they have repeatedly in every market cycle for the last forty years, the agent whose only income source is commission income experiences the direct, unmitigated impact of the reduction.</w:t>
      </w:r>
    </w:p>
    <w:p>
      <w:pPr>
        <w:spacing w:before="160" w:after="100"/>
        <w:jc w:val="both"/>
      </w:pPr>
      <w:r>
        <w:rPr>
          <w:rFonts w:ascii="Garamond" w:cs="Garamond" w:eastAsia="Garamond" w:hAnsi="Garamond"/>
          <w:b w:val="false"/>
          <w:bCs w:val="false"/>
          <w:i w:val="false"/>
          <w:iCs w:val="false"/>
          <w:color w:val="1A1A1A"/>
          <w:sz w:val="24"/>
          <w:szCs w:val="24"/>
        </w:rPr>
        <w:t xml:space="preserve">The agents who survive market cycles at a level of financial stability that allows them to maintain the practices described in this doctrine — the surplus position, the professional investment, the community presence — are the agents who have built income streams that are not entirely dependent on current transaction volume. These income streams exist at every level of the career and at every production level. They are not accessible only to the top-producing agent. They are accessible to any agent who understands them and pursues them systematically.</w:t>
      </w:r>
    </w:p>
    <w:p>
      <w:pPr>
        <w:spacing w:before="160" w:after="100"/>
        <w:jc w:val="both"/>
      </w:pPr>
      <w:r>
        <w:rPr>
          <w:rFonts w:ascii="Garamond" w:cs="Garamond" w:eastAsia="Garamond" w:hAnsi="Garamond"/>
          <w:b w:val="false"/>
          <w:bCs w:val="false"/>
          <w:i w:val="false"/>
          <w:iCs w:val="false"/>
          <w:color w:val="1A1A1A"/>
          <w:sz w:val="24"/>
          <w:szCs w:val="24"/>
        </w:rPr>
        <w:t xml:space="preserve">The referral income channel is the most accessible and least developed channel available. The residential agent is in contact with every type of real estate professional need — commercial transactions, out-of-area relocations, property management, new construction purchases — that their brokerage does not directly serve and for which a referral fee is standard. The agent who builds systematic referral relationships with commercial agents, relocation specialists, and property managers is generating 25-35% referral income from transactions they are not themselves completing. This income requires no additional production — it requires the network and the system to capture what the current production already generates.</w:t>
      </w:r>
    </w:p>
    <w:p>
      <w:pPr>
        <w:spacing w:before="160" w:after="100"/>
        <w:jc w:val="both"/>
      </w:pPr>
      <w:r>
        <w:rPr>
          <w:rFonts w:ascii="Garamond" w:cs="Garamond" w:eastAsia="Garamond" w:hAnsi="Garamond"/>
          <w:b w:val="false"/>
          <w:bCs w:val="false"/>
          <w:i w:val="false"/>
          <w:iCs w:val="false"/>
          <w:color w:val="1A1A1A"/>
          <w:sz w:val="24"/>
          <w:szCs w:val="24"/>
        </w:rPr>
        <w:t xml:space="preserve">The property management channel is the income stream that converts the investment in the tired landlord practice (Estate XVI) and the LLC dissolution practice (Estate XVII) into a recurring monthly revenue base. The agent who manages ten residential rental properties at $150-$200 per month per property is generating $18,000-$24,000 per year in management income that arrives monthly regardless of transaction volume. This is not a side business. It is a financial stabilizer that allows the agent to maintain the practices that produce the transaction business even in months when the transaction business is slow.</w:t>
      </w:r>
    </w:p>
    <w:p>
      <w:pPr>
        <w:spacing w:before="160" w:after="100"/>
        <w:jc w:val="both"/>
      </w:pPr>
      <w:r>
        <w:rPr>
          <w:rFonts w:ascii="Garamond" w:cs="Garamond" w:eastAsia="Garamond" w:hAnsi="Garamond"/>
          <w:b w:val="false"/>
          <w:bCs w:val="false"/>
          <w:i w:val="false"/>
          <w:iCs w:val="false"/>
          <w:color w:val="1A1A1A"/>
          <w:sz w:val="24"/>
          <w:szCs w:val="24"/>
        </w:rPr>
        <w:t xml:space="preserve">The consulting channel is the income stream that the agent's specific expertise generates outside the transaction context. Every agent who has operated in a specific market for five or more years has knowledge that is valuable to people who are making real estate decisions without buying or selling immediately — the investor who is analyzing whether to enter the market, the developer who needs specific market data before making a construction decision, the institutional buyer who needs neighborhood-specific intelligence. This knowledge, packaged as a consulting service with a specific hourly rate or project rate, generates income from the expertise the agent already has.</w:t>
      </w:r>
    </w:p>
    <w:p>
      <w:pPr>
        <w:spacing w:before="160" w:after="100"/>
        <w:jc w:val="both"/>
      </w:pPr>
      <w:r>
        <w:rPr>
          <w:rFonts w:ascii="Garamond" w:cs="Garamond" w:eastAsia="Garamond" w:hAnsi="Garamond"/>
          <w:b w:val="false"/>
          <w:bCs w:val="false"/>
          <w:i w:val="false"/>
          <w:iCs w:val="false"/>
          <w:color w:val="1A1A1A"/>
          <w:sz w:val="24"/>
          <w:szCs w:val="24"/>
        </w:rPr>
        <w:t xml:space="preserve">The investor partnership channel is the income stream generated when the agent crosses the line from representing investors to partnering with them. The agent who has worked extensively with real estate investors understands the investment thesis, the return calculation, the financing structure, and the market opportunities better than most investors. The agent who brings their market knowledge, their network access, and their transactional expertise into a partnership arrangement with the right investor — acquiring properties together, managing together, and sharing in the appreciation — is generating wealth from the expertise the commission-only model simply compensates.</w:t>
      </w:r>
    </w:p>
    <w:p>
      <w:pPr>
        <w:spacing w:before="160" w:after="100"/>
        <w:jc w:val="both"/>
      </w:pPr>
      <w:r>
        <w:rPr>
          <w:rFonts w:ascii="Garamond" w:cs="Garamond" w:eastAsia="Garamond" w:hAnsi="Garamond"/>
          <w:b w:val="false"/>
          <w:bCs w:val="false"/>
          <w:i w:val="false"/>
          <w:iCs w:val="false"/>
          <w:color w:val="1A1A1A"/>
          <w:sz w:val="24"/>
          <w:szCs w:val="24"/>
        </w:rPr>
        <w:t xml:space="preserve">The specific sequencing of the five channels matters. The commission is first because it funds everything else. The referral channel builds on the commission relationships without requiring additional time investment. The consulting channel builds on the expertise the commission career develops. The property management channel builds on the landlord and investor relationships the practices described in this doctrine develop. The investor partnership channel is available when the other four channels have built the financial surplus that makes the investment capital available. The agent who pursues all five simultaneously from year one dilutes each. The agent who pursues them in sequence builds each on the foundation of the previous.</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Map your current referral leakage: how many clients last year needed a real estate service you did not provide? Out-of-area moves, commercial acquisitions, property management, new construction purchases, vacation property purchases. Each of these was a 25-35% referral opportunity. Multiply the number by the average transaction value in your market and the referral rate. This is the annual referral income you are generating for other agents rather than for yourself.</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Build the referral network: identify the best commercial agent in your market, the best relocation specialist, the best new construction specialist, and the best property manager. Schedule meetings with each. Establish formal referral agreements — the specific percentage you will send and receive, the specific communication protocol for referred clients, and the specific quality standard for the referred experience. These four relationships convert the current referral leakage into recurring referral income.</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The property management entry point: start with one property. The landlord in your network who is considering selling — offer to manage the property for six months while they decide. This converts a potential future listing into both a current management relationship and a future listing at the same time. The first management client is always the hardest to acquire. The second comes from the first's referral.</w:t>
      </w:r>
    </w:p>
    <w:p>
      <w:pPr>
        <w:spacing w:before="90" w:after="70"/>
        <w:ind w:left="220"/>
      </w:pPr>
      <w:r>
        <w:rPr>
          <w:rFonts w:ascii="Garamond" w:cs="Garamond" w:eastAsia="Garamond" w:hAnsi="Garamond"/>
          <w:b/>
          <w:bCs/>
          <w:i w:val="false"/>
          <w:iCs w:val="false"/>
          <w:color w:val="C4A95A"/>
          <w:sz w:val="22"/>
          <w:szCs w:val="22"/>
        </w:rPr>
        <w:t xml:space="preserve">4.  </w:t>
      </w:r>
      <w:r>
        <w:rPr>
          <w:rFonts w:ascii="Garamond" w:cs="Garamond" w:eastAsia="Garamond" w:hAnsi="Garamond"/>
          <w:b w:val="false"/>
          <w:bCs w:val="false"/>
          <w:i w:val="false"/>
          <w:iCs w:val="false"/>
          <w:color w:val="1A1A1A"/>
          <w:sz w:val="22"/>
          <w:szCs w:val="22"/>
        </w:rPr>
        <w:t xml:space="preserve">The consulting offer: identify three people in your network who have expressed interest in real estate investment but have not yet purchased. Offer a two-hour investment analysis session at a specific rate — $150-$250 per hour is consistent with the market rate for this expertise. The session delivers a specific market analysis, a specific investment thesis evaluation, and specific property criteria for the investor's situation. The client who pays for this consultation and then proceeds to purchase with you has generated both consulting income and commission income from the same relationship.</w:t>
      </w:r>
    </w:p>
    <w:p>
      <w:pPr>
        <w:spacing w:before="90" w:after="70"/>
        <w:ind w:left="220"/>
      </w:pPr>
      <w:r>
        <w:rPr>
          <w:rFonts w:ascii="Garamond" w:cs="Garamond" w:eastAsia="Garamond" w:hAnsi="Garamond"/>
          <w:b/>
          <w:bCs/>
          <w:i w:val="false"/>
          <w:iCs w:val="false"/>
          <w:color w:val="C4A95A"/>
          <w:sz w:val="22"/>
          <w:szCs w:val="22"/>
        </w:rPr>
        <w:t xml:space="preserve">5.  </w:t>
      </w:r>
      <w:r>
        <w:rPr>
          <w:rFonts w:ascii="Garamond" w:cs="Garamond" w:eastAsia="Garamond" w:hAnsi="Garamond"/>
          <w:b w:val="false"/>
          <w:bCs w:val="false"/>
          <w:i w:val="false"/>
          <w:iCs w:val="false"/>
          <w:color w:val="1A1A1A"/>
          <w:sz w:val="22"/>
          <w:szCs w:val="22"/>
        </w:rPr>
        <w:t xml:space="preserve">The investor partnership evaluation: identify the one investor in your network who is most aligned with your market knowledge and most likely to benefit from a partnership arrangement. The first conversation is exploratory: "I have been thinking about whether there is a way to structure something where your capital and my market access produce better returns for both of us than the current arrangement does. Would you be interested in exploring what that could look like?" Not a commitment — an exploration. The exploration defines the structure. The structure defines the terms.</w:t>
      </w:r>
    </w:p>
    <w:p>
      <w:pPr>
        <w:spacing w:before="90" w:after="70"/>
        <w:ind w:left="220"/>
      </w:pPr>
      <w:r>
        <w:rPr>
          <w:rFonts w:ascii="Garamond" w:cs="Garamond" w:eastAsia="Garamond" w:hAnsi="Garamond"/>
          <w:b/>
          <w:bCs/>
          <w:i w:val="false"/>
          <w:iCs w:val="false"/>
          <w:color w:val="C4A95A"/>
          <w:sz w:val="22"/>
          <w:szCs w:val="22"/>
        </w:rPr>
        <w:t xml:space="preserve">6.  </w:t>
      </w:r>
      <w:r>
        <w:rPr>
          <w:rFonts w:ascii="Garamond" w:cs="Garamond" w:eastAsia="Garamond" w:hAnsi="Garamond"/>
          <w:b w:val="false"/>
          <w:bCs w:val="false"/>
          <w:i w:val="false"/>
          <w:iCs w:val="false"/>
          <w:color w:val="1A1A1A"/>
          <w:sz w:val="22"/>
          <w:szCs w:val="22"/>
        </w:rPr>
        <w:t xml:space="preserve">The annual five-channel income target: set a specific target for each channel at the beginning of every year. Commission income: X. Referral income: Y. Property management income: Z. Consulting income: A. Investment return: B. The act of setting the target for each channel activates the behaviors that produce the income. The channel with no target receives no attention. The channel with a specific target receives the specific behavior that produces the target.</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Single-channel agent versus five-channel agent. Same base GCI. Same market. Market cycle year.</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Market cycle year: transaction volume reduces 35% from prior year peak.</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Single-channel agent experiences 35% commission income reduction. Every survival decision under pressure.</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Five-channel agent: commission reduces 35%. Other channels adjust but do not collapse.</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Referral income: reduces 20%. Management income: unchanged. Consulting: increases (investors assessing market). Investment: unchanged.</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Single-channel agent: total income reduction in cycle year: 35%. Crisis-level response.</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-5.0</w:t>
      </w:r>
      <w:r>
        <w:rPr>
          <w:rFonts w:ascii="Garamond" w:cs="Garamond" w:eastAsia="Garamond" w:hAnsi="Garamond"/>
          <w:b w:val="false"/>
          <w:bCs w:val="false"/>
          <w:i/>
          <w:iCs/>
          <w:color w:val="555555"/>
          <w:sz w:val="18"/>
          <w:szCs w:val="18"/>
        </w:rPr>
        <w:t xml:space="preserve">  — Surplus depleted. Professional investments cut. Practice discipline deteriorates. Recovery trajectory extended.</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Five-channel agent: total income reduction in cycle year: 18%. Managed reduction.</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7</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9.0</w:t>
      </w:r>
      <w:r>
        <w:rPr>
          <w:rFonts w:ascii="Garamond" w:cs="Garamond" w:eastAsia="Garamond" w:hAnsi="Garamond"/>
          <w:b w:val="false"/>
          <w:bCs w:val="false"/>
          <w:i/>
          <w:iCs/>
          <w:color w:val="555555"/>
          <w:sz w:val="18"/>
          <w:szCs w:val="18"/>
        </w:rPr>
        <w:t xml:space="preserve">  — Surplus maintained. Practice investments maintained. Pipeline rebuilt from maintained position. Recovery faster.</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Recovery year: five-channel agent versus single-channel agent.</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Five-channel: recovers to prior peak by month 8 of recovery year. Single-channel: month 18. The cushion is a time advantage.</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How many income channels are you currently operating? If one channel — the commission — disabled tomorrow due to a market cycle, which practices described in this doctrine would you be forced to abandon first? What would that abandonment cost you in the recovery year?</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Five-Channel Build</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Year 1: Optimize the commission channel. Build the referral network — identify and formalize relationships with the four key referral partners. Year 2: Add property management — start with one property from the landlord practice. Year 3: Add consulting — offer the investment analysis session to three network contacts. Year 4: Evaluate the investor partnership — identify the right partner. Build each channel on the foundation of the previous. The sequence matters. The five-channel architecture is a five-year build. Start with the referral network today — it costs nothing and produces income immediately.</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80"/>
        <w:jc w:val="center"/>
      </w:pPr>
      <w:r>
        <w:rPr>
          <w:rFonts w:ascii="Garamond" w:cs="Garamond" w:eastAsia="Garamond" w:hAnsi="Garamond"/>
          <w:b/>
          <w:bCs/>
          <w:i w:val="false"/>
          <w:iCs w:val="false"/>
          <w:color w:val="C4A95A"/>
          <w:sz w:val="52"/>
          <w:szCs w:val="52"/>
        </w:rPr>
        <w:t xml:space="preserve">BOOK VI</w:t>
      </w:r>
    </w:p>
    <w:p>
      <w:pPr>
        <w:spacing w:before="0" w:after="100"/>
        <w:jc w:val="center"/>
      </w:pPr>
      <w:r>
        <w:rPr>
          <w:rFonts w:ascii="Garamond" w:cs="Garamond" w:eastAsia="Garamond" w:hAnsi="Garamond"/>
          <w:b/>
          <w:bCs/>
          <w:i w:val="false"/>
          <w:iCs w:val="false"/>
          <w:color w:val="0A0A0A"/>
          <w:sz w:val="52"/>
          <w:szCs w:val="52"/>
        </w:rPr>
        <w:t xml:space="preserve">THE ESTATE OF THE SELF</w:t>
      </w:r>
    </w:p>
    <w:p>
      <w:pPr>
        <w:pBdr>
          <w:bottom w:val="single" w:color="C4A95A" w:sz="6" w:space="8"/>
        </w:pBdr>
        <w:spacing w:before="0" w:after="200"/>
        <w:jc w:val="center"/>
      </w:pPr>
      <w:r>
        <w:rPr>
          <w:rFonts w:ascii="Garamond" w:cs="Garamond" w:eastAsia="Garamond" w:hAnsi="Garamond"/>
          <w:b w:val="false"/>
          <w:bCs w:val="false"/>
          <w:i/>
          <w:iCs/>
          <w:color w:val="555555"/>
          <w:sz w:val="28"/>
          <w:szCs w:val="28"/>
        </w:rPr>
        <w:t xml:space="preserve">The agent is the instrument. The instrument requires maintenance.</w:t>
      </w:r>
    </w:p>
    <w:p>
      <w:pPr>
        <w:spacing w:before="160" w:after="100"/>
        <w:jc w:val="both"/>
      </w:pPr>
      <w:r>
        <w:rPr>
          <w:rFonts w:ascii="Garamond" w:cs="Garamond" w:eastAsia="Garamond" w:hAnsi="Garamond"/>
          <w:b w:val="false"/>
          <w:bCs w:val="false"/>
          <w:i w:val="false"/>
          <w:iCs w:val="false"/>
          <w:color w:val="1A1A1A"/>
          <w:sz w:val="24"/>
          <w:szCs w:val="24"/>
        </w:rPr>
        <w:t xml:space="preserve">Every other Estate in this doctrine is a practice applied to the external environment. This Estate is a practice applied to the agent themselves. It is the only Estate that, if neglected, makes every other Estate unavailable — because the instrument through which every other practice flows is the professional's own psychological and emotional state. The agent who does not understand this Estate performs every other Estate at diminished capacity without knowing why.</w:t>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XXII</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Emotional Transaction</w:t>
      </w:r>
    </w:p>
    <w:p>
      <w:pPr>
        <w:spacing w:before="60" w:after="300"/>
        <w:jc w:val="left"/>
      </w:pPr>
      <w:r>
        <w:rPr>
          <w:rFonts w:ascii="Garamond" w:cs="Garamond" w:eastAsia="Garamond" w:hAnsi="Garamond"/>
          <w:b w:val="false"/>
          <w:bCs w:val="false"/>
          <w:i/>
          <w:iCs/>
          <w:color w:val="555555"/>
          <w:sz w:val="26"/>
          <w:szCs w:val="26"/>
        </w:rPr>
        <w:t xml:space="preserve">Every transaction is simultaneously a financial transaction and an emotional one. The financial transaction has documented rules, timelines, and outcomes. The emotional transaction has none of these things — which means it is more volatile, more consequential, and more completely within the competent agent's domain of influence than the financial transaction is.</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agent who can only manage the financial transaction loses clients to the agent who can manage both. Most clients remember nothing about the financial details of their transaction five years later. They remember exactly how it felt.</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The real estate transaction is, for most clients, the largest financial decision of their lives. It is also, for most clients, a decision that is inseparable from a set of major life transitions: the marriage that precedes the first home purchase, the growing family that drives the move to the larger house, the divorce that requires the sale of the shared property, the death of a parent that produces the estate sale, the job change that requires the relocation, the children leaving home that produces the downsizing decision. These transitions are not the backdrop to the transaction. They are the substance of the client's experience during the transaction.</w:t>
      </w:r>
    </w:p>
    <w:p>
      <w:pPr>
        <w:spacing w:before="160" w:after="100"/>
        <w:jc w:val="both"/>
      </w:pPr>
      <w:r>
        <w:rPr>
          <w:rFonts w:ascii="Garamond" w:cs="Garamond" w:eastAsia="Garamond" w:hAnsi="Garamond"/>
          <w:b w:val="false"/>
          <w:bCs w:val="false"/>
          <w:i w:val="false"/>
          <w:iCs w:val="false"/>
          <w:color w:val="1A1A1A"/>
          <w:sz w:val="24"/>
          <w:szCs w:val="24"/>
        </w:rPr>
        <w:t xml:space="preserve">The financial elements of the transaction — the offer price, the inspection negotiation, the appraisal result, the closing timeline — are the formal structure within which the emotional transaction occurs. The client who is selling the home where their children were born, who is closing the door for the last time on the house that contains two decades of accumulated memory, is not primarily experiencing a financial event. They are experiencing a grief event. The commission check that arrives at closing is the financial conclusion of an emotional passage.</w:t>
      </w:r>
    </w:p>
    <w:p>
      <w:pPr>
        <w:spacing w:before="160" w:after="100"/>
        <w:jc w:val="both"/>
      </w:pPr>
      <w:r>
        <w:rPr>
          <w:rFonts w:ascii="Garamond" w:cs="Garamond" w:eastAsia="Garamond" w:hAnsi="Garamond"/>
          <w:b w:val="false"/>
          <w:bCs w:val="false"/>
          <w:i w:val="false"/>
          <w:iCs w:val="false"/>
          <w:color w:val="1A1A1A"/>
          <w:sz w:val="24"/>
          <w:szCs w:val="24"/>
        </w:rPr>
        <w:t xml:space="preserve">The agent who understands the emotional transaction manages both dimensions simultaneously without confusing them. They know which moments call for the financial analysis and which call for the acknowledgment of the emotional experience. They know that the client who breaks down during the final walk-through is not having a rational problem — they are having a human one — and that the correct response is presence rather than problem-solving. They know that the client who is unreasonably combative during the inspection negotiation is frequently processing an anxiety about the transition itself rather than about the specific items on the inspection report.</w:t>
      </w:r>
    </w:p>
    <w:p>
      <w:pPr>
        <w:spacing w:before="160" w:after="100"/>
        <w:jc w:val="both"/>
      </w:pPr>
      <w:r>
        <w:rPr>
          <w:rFonts w:ascii="Garamond" w:cs="Garamond" w:eastAsia="Garamond" w:hAnsi="Garamond"/>
          <w:b w:val="false"/>
          <w:bCs w:val="false"/>
          <w:i w:val="false"/>
          <w:iCs w:val="false"/>
          <w:color w:val="1A1A1A"/>
          <w:sz w:val="24"/>
          <w:szCs w:val="24"/>
        </w:rPr>
        <w:t xml:space="preserve">The emotional state of the agent is not separate from the quality of the agent's performance. It is the primary variable. The agent who is managing their own financial anxiety, their own relationship stress, their own grief, their own exhaustion, and is simultaneously attempting to manage the emotional transaction for a client is dividing the same psychological resources between two competing demands. The client's emotional needs are at competition with the agent's own unaddressed emotional state. In this competition, the client frequently loses — not through the agent's negligence but through the agent's depletion.</w:t>
      </w:r>
    </w:p>
    <w:p>
      <w:pPr>
        <w:spacing w:before="160" w:after="100"/>
        <w:jc w:val="both"/>
      </w:pPr>
      <w:r>
        <w:rPr>
          <w:rFonts w:ascii="Garamond" w:cs="Garamond" w:eastAsia="Garamond" w:hAnsi="Garamond"/>
          <w:b w:val="false"/>
          <w:bCs w:val="false"/>
          <w:i w:val="false"/>
          <w:iCs w:val="false"/>
          <w:color w:val="1A1A1A"/>
          <w:sz w:val="24"/>
          <w:szCs w:val="24"/>
        </w:rPr>
        <w:t xml:space="preserve">The specific practices that allow the agent to maintain the emotional availability that the emotional transaction requires: the boundary discipline that keeps the professional emotional field from being collapsed by the personal one, the physical maintenance practices that sustain the neurological capacity for genuine presence, the relationship investment that provides the emotional support structure outside the professional context, and the specific practice of processing the emotional content of difficult transactions rather than accumulating it. The agent who has been through fifteen distress transactions in eighteen months is carrying the accumulated emotional content of those transactions in a way that is not visible on any production report and that affects every subsequent interaction.</w:t>
      </w:r>
    </w:p>
    <w:p>
      <w:pPr>
        <w:spacing w:before="160" w:after="100"/>
        <w:jc w:val="both"/>
      </w:pPr>
      <w:r>
        <w:rPr>
          <w:rFonts w:ascii="Garamond" w:cs="Garamond" w:eastAsia="Garamond" w:hAnsi="Garamond"/>
          <w:b w:val="false"/>
          <w:bCs w:val="false"/>
          <w:i w:val="false"/>
          <w:iCs w:val="false"/>
          <w:color w:val="1A1A1A"/>
          <w:sz w:val="24"/>
          <w:szCs w:val="24"/>
        </w:rPr>
        <w:t xml:space="preserve">The PLT of the emotional transaction: the Love account deposit generated by the agent who manages the emotional dimension of the transaction is among the most durable and most referral-productive available. The client who felt genuinely seen, genuinely accompanied through a major life transition, and genuinely cared for as a person rather than processed as a transaction does not merely refer the agent. They advocate for them with an emotional register that converts every person they speak to about real estate into a pre-sold lead. The advocacy that comes from emotional care cannot be purchased. It cannot be manufactured. It can only be generated by the agent who was genuinely present for the client at the moment when the client genuinely needed presence.</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The Transition Question: at the beginning of every new client relationship, ask one question that no other agent in the process has asked: "What is the life change that's driving this move?" Not the practical reason — the life change. The answer to this question tells you everything you need to know about the emotional dimension of the transaction you are about to manage. The client who answers "my divorce was finalized and I need to sell our home" is beginning a different emotional transaction from the client who answers "we're expecting our second child and need more room." Both are transactions. The emotional management of each is completely different.</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The acknowledgment before the analysis: when a client shares an emotional dimension of their transaction — the loss behind the estate sale, the grief behind the relocation away from a city they love, the anxiety behind the first-time purchase — acknowledge it before pivoting to the analytical response. "That sounds like it's been a hard process" before "here's what the market says." The acknowledgment does not need to be lengthy or therapeutic. It needs to be genuine and prior. The client who feels heard before being advised is a different client from the client who feels processed.</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The check-in practice: every ten days during the active transaction, send a communication that has no informational content. No update on the transaction timeline, no market data, no document request. A check-in that says: "How are you doing through this process?" The question, asked without an agenda attached to the answer, demonstrates that the agent is monitoring the client's experience of the transaction, not just the transaction's financial progress.</w:t>
      </w:r>
    </w:p>
    <w:p>
      <w:pPr>
        <w:spacing w:before="90" w:after="70"/>
        <w:ind w:left="220"/>
      </w:pPr>
      <w:r>
        <w:rPr>
          <w:rFonts w:ascii="Garamond" w:cs="Garamond" w:eastAsia="Garamond" w:hAnsi="Garamond"/>
          <w:b/>
          <w:bCs/>
          <w:i w:val="false"/>
          <w:iCs w:val="false"/>
          <w:color w:val="C4A95A"/>
          <w:sz w:val="22"/>
          <w:szCs w:val="22"/>
        </w:rPr>
        <w:t xml:space="preserve">4.  </w:t>
      </w:r>
      <w:r>
        <w:rPr>
          <w:rFonts w:ascii="Garamond" w:cs="Garamond" w:eastAsia="Garamond" w:hAnsi="Garamond"/>
          <w:b w:val="false"/>
          <w:bCs w:val="false"/>
          <w:i w:val="false"/>
          <w:iCs w:val="false"/>
          <w:color w:val="1A1A1A"/>
          <w:sz w:val="22"/>
          <w:szCs w:val="22"/>
        </w:rPr>
        <w:t xml:space="preserve">The difficult moment protocol: when a transaction becomes emotionally charged — the seller who breaks down at the final walk-through, the buyer who panics after the inspection, the divorcing couple who cannot be in the same room — do not immediately pivot to problem-solving. First: be present. Name what you are observing, without diagnosis. "This is a hard moment." "I can see this is bringing up a lot." Then: offer a specific choice rather than a direction. "Do you want to take a few minutes, or would you rather I just keep going?" The client who is given the choice to regulate their own emotional state in a professionally held space has experienced a quality of care they will remember for the rest of their life.</w:t>
      </w:r>
    </w:p>
    <w:p>
      <w:pPr>
        <w:spacing w:before="90" w:after="70"/>
        <w:ind w:left="220"/>
      </w:pPr>
      <w:r>
        <w:rPr>
          <w:rFonts w:ascii="Garamond" w:cs="Garamond" w:eastAsia="Garamond" w:hAnsi="Garamond"/>
          <w:b/>
          <w:bCs/>
          <w:i w:val="false"/>
          <w:iCs w:val="false"/>
          <w:color w:val="C4A95A"/>
          <w:sz w:val="22"/>
          <w:szCs w:val="22"/>
        </w:rPr>
        <w:t xml:space="preserve">5.  </w:t>
      </w:r>
      <w:r>
        <w:rPr>
          <w:rFonts w:ascii="Garamond" w:cs="Garamond" w:eastAsia="Garamond" w:hAnsi="Garamond"/>
          <w:b w:val="false"/>
          <w:bCs w:val="false"/>
          <w:i w:val="false"/>
          <w:iCs w:val="false"/>
          <w:color w:val="1A1A1A"/>
          <w:sz w:val="22"/>
          <w:szCs w:val="22"/>
        </w:rPr>
        <w:t xml:space="preserve">The agent emotional maintenance practice: after every transaction that was emotionally significant — the distress sale, the grieving estate client, the high-conflict divorce — identify the specific emotional content that you absorbed during the transaction and consciously acknowledge it. Not pathologically — professionally. The agent who processes the accumulated content of difficult transactions is the agent who enters the next difficult transaction with their full capacity available. The agent who does not is the agent who becomes progressively less available without understanding why.</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Two agents. Same distress transaction: seller of twenty-two-year family home, motivated by job loss. Different emotional management.</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A: manages the financial transaction excellently. Net sheet accurate. Price correct. Inspection smooth.</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6</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5</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1.5</w:t>
      </w:r>
      <w:r>
        <w:rPr>
          <w:rFonts w:ascii="Garamond" w:cs="Garamond" w:eastAsia="Garamond" w:hAnsi="Garamond"/>
          <w:b w:val="false"/>
          <w:bCs w:val="false"/>
          <w:i/>
          <w:iCs/>
          <w:color w:val="555555"/>
          <w:sz w:val="18"/>
          <w:szCs w:val="18"/>
        </w:rPr>
        <w:t xml:space="preserve">  — Transaction closes. Numbers correct. Seller has correct check. Feels processed.</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B: Transition question at listing. "What is the life change driving this?" Seller answers honestly.</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10.0</w:t>
      </w:r>
      <w:r>
        <w:rPr>
          <w:rFonts w:ascii="Garamond" w:cs="Garamond" w:eastAsia="Garamond" w:hAnsi="Garamond"/>
          <w:b w:val="false"/>
          <w:bCs w:val="false"/>
          <w:i/>
          <w:iCs/>
          <w:color w:val="555555"/>
          <w:sz w:val="18"/>
          <w:szCs w:val="18"/>
        </w:rPr>
        <w:t xml:space="preserve">  — Agent B knows: twenty-two-year family home. Youngest child's first steps were in this kitchen. This is a grief transaction.</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B at final walk-through: seller breaks down in the kitchen. Agent B: "This is a hard moment." Sits with it.</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10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11.0</w:t>
      </w:r>
      <w:r>
        <w:rPr>
          <w:rFonts w:ascii="Garamond" w:cs="Garamond" w:eastAsia="Garamond" w:hAnsi="Garamond"/>
          <w:b w:val="false"/>
          <w:bCs w:val="false"/>
          <w:i/>
          <w:iCs/>
          <w:color w:val="555555"/>
          <w:sz w:val="18"/>
          <w:szCs w:val="18"/>
        </w:rPr>
        <w:t xml:space="preserve">  — No pivot to logistics. No awkward comfort. Genuine presence. Seller: "Thank you for not trying to fix it."</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Transaction closes. Same financial outcome. Different emotional experience.</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Agent A: one referral in 18 months. Agent B: four referrals in 18 months. Same transaction quality. Different emotional management.</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What is the accumulated emotional content you are currently carrying from your last three difficult transactions? Have you processed it or accumulated it? And how is the accumulated weight affecting the quality of your presence in your current client relationships?</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Emotional Transaction Practice</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Start every new client relationship with the Transition Question. Build the acknowledgment-before-analysis habit. Send the agenda-free check-in every ten days. After every emotionally significant transaction, run the processing practice. Track the referral rate of the transactions where you managed the emotional dimension well versus the transactions where you did not. The correlation will be visible and it will make the practice permanent.</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XXIII</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Decline as Position</w:t>
      </w:r>
    </w:p>
    <w:p>
      <w:pPr>
        <w:spacing w:before="60" w:after="300"/>
        <w:jc w:val="left"/>
      </w:pPr>
      <w:r>
        <w:rPr>
          <w:rFonts w:ascii="Garamond" w:cs="Garamond" w:eastAsia="Garamond" w:hAnsi="Garamond"/>
          <w:b w:val="false"/>
          <w:bCs w:val="false"/>
          <w:i/>
          <w:iCs/>
          <w:color w:val="555555"/>
          <w:sz w:val="26"/>
          <w:szCs w:val="26"/>
        </w:rPr>
        <w:t xml:space="preserve">Every client you accept is a statement about your professional standard. Every client you decline is a statement about your professional value. The agent who accepts every client from abundance is practicing a different business from the agent who accepts every client from fear. One compounds. The other corrodes.</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decline is only available to the agent who does not need the transaction. Which means the decline is the practice that demonstrates whether you have built the surplus position or merely talked about it. The refusal to work with the wrong client is the most expensive free thing in the business.</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The practice of client selection — the deliberate decision about which clients to accept and which to decline — is available to every agent at every production level. It is practiced by almost no agent below a specific threshold of financial confidence because the practice requires the one thing that the scarcity position cannot provide: the genuine belief that declining a client is a financially acceptable decision.</w:t>
      </w:r>
    </w:p>
    <w:p>
      <w:pPr>
        <w:spacing w:before="160" w:after="100"/>
        <w:jc w:val="both"/>
      </w:pPr>
      <w:r>
        <w:rPr>
          <w:rFonts w:ascii="Garamond" w:cs="Garamond" w:eastAsia="Garamond" w:hAnsi="Garamond"/>
          <w:b w:val="false"/>
          <w:bCs w:val="false"/>
          <w:i w:val="false"/>
          <w:iCs w:val="false"/>
          <w:color w:val="1A1A1A"/>
          <w:sz w:val="24"/>
          <w:szCs w:val="24"/>
        </w:rPr>
        <w:t xml:space="preserve">The client who is wrong for the professional relationship falls into several specific categories that every experienced agent recognizes immediately. The client whose financial expectations for their property are so disconnected from market reality that accurate representation is impossible — not because the client is uninformed, but because they are committed to a number that no information will change. The client whose personal conduct in the transaction context — the treatment of cooperating agents, the response to inspection findings, the communication style with the agent — creates enough liability to the agent's professional reputation to represent a genuine cost. The client whose specific emotional demands during the transaction exceed the agent's capacity to manage without neglecting other clients who deserve adequate attention.</w:t>
      </w:r>
    </w:p>
    <w:p>
      <w:pPr>
        <w:spacing w:before="160" w:after="100"/>
        <w:jc w:val="both"/>
      </w:pPr>
      <w:r>
        <w:rPr>
          <w:rFonts w:ascii="Garamond" w:cs="Garamond" w:eastAsia="Garamond" w:hAnsi="Garamond"/>
          <w:b w:val="false"/>
          <w:bCs w:val="false"/>
          <w:i w:val="false"/>
          <w:iCs w:val="false"/>
          <w:color w:val="1A1A1A"/>
          <w:sz w:val="24"/>
          <w:szCs w:val="24"/>
        </w:rPr>
        <w:t xml:space="preserve">The cost of the wrong client is measured in four currencies that most agents do not account for simultaneously. The financial cost is the carrying cost of the listing that will not sell at the seller's price — the monthly carrying cost in marketing, time, and opportunity foregone. The reputational cost is the cost to the agent's professional standing with cooperating agents, who know the agent is managing an overpriced listing and who draw conclusions about the agent's pricing discipline from the evidence. The emotional cost is the sustained management of a client relationship that produces conflict rather than progress — the monthly calls, the weekly justifications, the specific energy required to manage the relationship between the client's expectation and the market's response. The opportunity cost is the most significant: the time, energy, and attention consumed by the wrong client is time, energy, and attention not available to the right client.</w:t>
      </w:r>
    </w:p>
    <w:p>
      <w:pPr>
        <w:spacing w:before="160" w:after="100"/>
        <w:jc w:val="both"/>
      </w:pPr>
      <w:r>
        <w:rPr>
          <w:rFonts w:ascii="Garamond" w:cs="Garamond" w:eastAsia="Garamond" w:hAnsi="Garamond"/>
          <w:b w:val="false"/>
          <w:bCs w:val="false"/>
          <w:i w:val="false"/>
          <w:iCs w:val="false"/>
          <w:color w:val="1A1A1A"/>
          <w:sz w:val="24"/>
          <w:szCs w:val="24"/>
        </w:rPr>
        <w:t xml:space="preserve">The discipline of the decline is difficult because it is prospective — the decline is made at the listing appointment, before the costs of the wrong client relationship have been experienced, when the commission is entirely theoretical. The agent at the listing appointment is deciding between certain cost (the decline) and possible benefit (the commission if the seller becomes reasonable or the market moves). This calculation favors acceptance in the moment and rejection in retrospect, after the costs have been paid.</w:t>
      </w:r>
    </w:p>
    <w:p>
      <w:pPr>
        <w:spacing w:before="160" w:after="100"/>
        <w:jc w:val="both"/>
      </w:pPr>
      <w:r>
        <w:rPr>
          <w:rFonts w:ascii="Garamond" w:cs="Garamond" w:eastAsia="Garamond" w:hAnsi="Garamond"/>
          <w:b w:val="false"/>
          <w:bCs w:val="false"/>
          <w:i w:val="false"/>
          <w:iCs w:val="false"/>
          <w:color w:val="1A1A1A"/>
          <w:sz w:val="24"/>
          <w:szCs w:val="24"/>
        </w:rPr>
        <w:t xml:space="preserve">The doctrine of the decline is not about being selective for its own sake. It is about the specific and measurable consequence of the wrong client on the practices that produce the right clients. The agent who is spending twenty hours per month managing a frustrating overpriced listing is spending twenty hours per month not running the delinquent tax practice, not visiting the twenty-five neighbors after closings, not maintaining the professional relationships that produce the off-market transactions. The wrong client does not just cost what they cost. They cost what the right client would have produced in the same time.</w:t>
      </w:r>
    </w:p>
    <w:p>
      <w:pPr>
        <w:spacing w:before="160" w:after="100"/>
        <w:jc w:val="both"/>
      </w:pPr>
      <w:r>
        <w:rPr>
          <w:rFonts w:ascii="Garamond" w:cs="Garamond" w:eastAsia="Garamond" w:hAnsi="Garamond"/>
          <w:b w:val="false"/>
          <w:bCs w:val="false"/>
          <w:i w:val="false"/>
          <w:iCs w:val="false"/>
          <w:color w:val="1A1A1A"/>
          <w:sz w:val="24"/>
          <w:szCs w:val="24"/>
        </w:rPr>
        <w:t xml:space="preserve">The specific language of the decline: the agent who declines a client does so with specific honesty rather than with the comfortable ambiguity of "I don't think we're a good fit." The honest decline: "The price you need to list at is not the price the market will produce in a transaction in the timeline you have described. I cannot represent your property at that price because representing it at that price would waste your time and mine and would ultimately cost you more than declining to list would cost you. I would be honored to work with you when the pricing is consistent with what the market will produce, or to refer you to a colleague who might have a different perspective on what the market will bear." This decline is honest, specific, and respectful. It is also permanent in the client's memory — not negatively, but specifically. The client who receives a professional decline often returns when their position changes.</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The Client Qualification Standard: before every listing appointment, define clearly what a successful client relationship with this specific seller requires. Realistic pricing within 5% of the CMA value. Communication style compatible with professional management. Financial timeline that accommodates the market's realistic pace. Willingness to follow the agent's professional guidance on preparation, staging, and showing access. Any seller who cannot meet these standards at the listing appointment is a candidate for the decline. Run the evaluation. Make the decision before the relationship begins.</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The Listing Appointment Truth Test: at every listing appointment, say the thing that most agents will not say. The price number. The accurate days-on-market expectation. The specific preparation required before listing. The specific consequence of non-compliance with showing requests. The agent who delivers these truths at the listing appointment and retains the client has a client who is prepared for the transaction. The agent who delivers the truths at the listing appointment and loses the client to an agent who tells the seller what they want to hear has made a correct professional decision whose consequence was outside their control.</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The Price Agreement Requirement: do not accept a listing at a price you genuinely believe the market will not support. The listing at the wrong price costs the following: your professional reputation with cooperating agents, your time and energy in the management period, the possibility that the seller blames you for the failure to produce a transaction at the price you accepted, and the opportunity represented by the right clients you did not serve because this client consumed your attention. These costs exceed the commission in most overpriced listing situations. Know your threshold. Enforce it.</w:t>
      </w:r>
    </w:p>
    <w:p>
      <w:pPr>
        <w:spacing w:before="90" w:after="70"/>
        <w:ind w:left="220"/>
      </w:pPr>
      <w:r>
        <w:rPr>
          <w:rFonts w:ascii="Garamond" w:cs="Garamond" w:eastAsia="Garamond" w:hAnsi="Garamond"/>
          <w:b/>
          <w:bCs/>
          <w:i w:val="false"/>
          <w:iCs w:val="false"/>
          <w:color w:val="C4A95A"/>
          <w:sz w:val="22"/>
          <w:szCs w:val="22"/>
        </w:rPr>
        <w:t xml:space="preserve">4.  </w:t>
      </w:r>
      <w:r>
        <w:rPr>
          <w:rFonts w:ascii="Garamond" w:cs="Garamond" w:eastAsia="Garamond" w:hAnsi="Garamond"/>
          <w:b w:val="false"/>
          <w:bCs w:val="false"/>
          <w:i w:val="false"/>
          <w:iCs w:val="false"/>
          <w:color w:val="1A1A1A"/>
          <w:sz w:val="22"/>
          <w:szCs w:val="22"/>
        </w:rPr>
        <w:t xml:space="preserve">The Relationship Audit: once per quarter, review every active client relationship and score it on two dimensions: (1) Is this client following my professional guidance at a level that gives the transaction the best chance of the best outcome? (2) Is the energy I am investing in this relationship proportional to the value it is producing? Any client who scores below acceptable on both dimensions requires a direct conversation about the relationship standard. The conversation either improves the relationship or concludes it. Either outcome is better than the status quo.</w:t>
      </w:r>
    </w:p>
    <w:p>
      <w:pPr>
        <w:spacing w:before="90" w:after="70"/>
        <w:ind w:left="220"/>
      </w:pPr>
      <w:r>
        <w:rPr>
          <w:rFonts w:ascii="Garamond" w:cs="Garamond" w:eastAsia="Garamond" w:hAnsi="Garamond"/>
          <w:b/>
          <w:bCs/>
          <w:i w:val="false"/>
          <w:iCs w:val="false"/>
          <w:color w:val="C4A95A"/>
          <w:sz w:val="22"/>
          <w:szCs w:val="22"/>
        </w:rPr>
        <w:t xml:space="preserve">5.  </w:t>
      </w:r>
      <w:r>
        <w:rPr>
          <w:rFonts w:ascii="Garamond" w:cs="Garamond" w:eastAsia="Garamond" w:hAnsi="Garamond"/>
          <w:b w:val="false"/>
          <w:bCs w:val="false"/>
          <w:i w:val="false"/>
          <w:iCs w:val="false"/>
          <w:color w:val="1A1A1A"/>
          <w:sz w:val="22"/>
          <w:szCs w:val="22"/>
        </w:rPr>
        <w:t xml:space="preserve">The Surplus as Prerequisite: the decline is only sustainable if the surplus position (Estate I) is maintained. The decline from necessity is a fantasy — it produces the performance of selectivity without the foundation that makes selectivity real. Build the surplus first. The surplus makes the decline possible. The decline makes the surplus permanent. The cycle is reinforcing in both directions.</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Two listings. Same neighborhood. Same price. One agent accepts both. The other accepts only the correctly-priced one.</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A accepts overpriced listing at $540,000. CMA supported $495,000.</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-5</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-6.0</w:t>
      </w:r>
      <w:r>
        <w:rPr>
          <w:rFonts w:ascii="Garamond" w:cs="Garamond" w:eastAsia="Garamond" w:hAnsi="Garamond"/>
          <w:b w:val="false"/>
          <w:bCs w:val="false"/>
          <w:i/>
          <w:iCs/>
          <w:color w:val="555555"/>
          <w:sz w:val="18"/>
          <w:szCs w:val="18"/>
        </w:rPr>
        <w:t xml:space="preserve">  — 45 days on market. Price reduced to $509,000. 30 more days. Reduced to $489,000. Closes at $484,000.</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A: 4 months of management, reduced commission, frustrated seller, no referral.</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1</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-6</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-6.5</w:t>
      </w:r>
      <w:r>
        <w:rPr>
          <w:rFonts w:ascii="Garamond" w:cs="Garamond" w:eastAsia="Garamond" w:hAnsi="Garamond"/>
          <w:b w:val="false"/>
          <w:bCs w:val="false"/>
          <w:i/>
          <w:iCs/>
          <w:color w:val="555555"/>
          <w:sz w:val="18"/>
          <w:szCs w:val="18"/>
        </w:rPr>
        <w:t xml:space="preserve">  — Total time investment: 40 hours beyond standard. Opportunity cost: the prospects who called during those 40 hours who received inadequate attention.</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B: declines the overpriced listing. Accepts the correctly-priced one at $492,000.</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7</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9.0</w:t>
      </w:r>
      <w:r>
        <w:rPr>
          <w:rFonts w:ascii="Garamond" w:cs="Garamond" w:eastAsia="Garamond" w:hAnsi="Garamond"/>
          <w:b w:val="false"/>
          <w:bCs w:val="false"/>
          <w:i/>
          <w:iCs/>
          <w:color w:val="555555"/>
          <w:sz w:val="18"/>
          <w:szCs w:val="18"/>
        </w:rPr>
        <w:t xml:space="preserve">  — "The market will produce approximately $490,000-$498,000 in this timeline. I can list at $492,000 and produce that result with precision."</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B: sells in 14 days at $497,000. Full commission. Seller delighted.</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10.0</w:t>
      </w:r>
      <w:r>
        <w:rPr>
          <w:rFonts w:ascii="Garamond" w:cs="Garamond" w:eastAsia="Garamond" w:hAnsi="Garamond"/>
          <w:b w:val="false"/>
          <w:bCs w:val="false"/>
          <w:i/>
          <w:iCs/>
          <w:color w:val="555555"/>
          <w:sz w:val="18"/>
          <w:szCs w:val="18"/>
        </w:rPr>
        <w:t xml:space="preserve">  — The correct listing produces the correct outcome. The correct outcome produces the correct referral.</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1 comparison: Agent A manages 3 overpriced listings. Agent B declines all 3 and lists 3 correctly-priced alternatives.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Agent A: 3 frustrating transactions, reduced commissions, no referrals. Agent B: 3 smooth transactions, full commissions, 6 referrals.</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How many clients are you currently serving whose relationship is costing you more — in time, energy, reputation, and opportunity — than it is producing? Name one specifically. Name the specific cost of that relationship this month. Name what would happen if you had a direct conversation about the professional standard required for the relationship to continue.</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Decline Practice</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Before the next listing appointment: define the three non-negotiable conditions for accepting the listing. At the listing appointment: deliver the honest price. Hold the standard. If the conditions are not met — decline. Track the outcomes of declined listings over the following six months: did the property eventually list at the price the market supported? Did the seller return? Did the agent who took the overpriced listing perform better or worse than you would have? The data will confirm the decision every time.</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80"/>
        <w:jc w:val="center"/>
      </w:pPr>
      <w:r>
        <w:rPr>
          <w:rFonts w:ascii="Garamond" w:cs="Garamond" w:eastAsia="Garamond" w:hAnsi="Garamond"/>
          <w:b/>
          <w:bCs/>
          <w:i w:val="false"/>
          <w:iCs w:val="false"/>
          <w:color w:val="C4A95A"/>
          <w:sz w:val="52"/>
          <w:szCs w:val="52"/>
        </w:rPr>
        <w:t xml:space="preserve">BOOK VII</w:t>
      </w:r>
    </w:p>
    <w:p>
      <w:pPr>
        <w:spacing w:before="0" w:after="100"/>
        <w:jc w:val="center"/>
      </w:pPr>
      <w:r>
        <w:rPr>
          <w:rFonts w:ascii="Garamond" w:cs="Garamond" w:eastAsia="Garamond" w:hAnsi="Garamond"/>
          <w:b/>
          <w:bCs/>
          <w:i w:val="false"/>
          <w:iCs w:val="false"/>
          <w:color w:val="0A0A0A"/>
          <w:sz w:val="52"/>
          <w:szCs w:val="52"/>
        </w:rPr>
        <w:t xml:space="preserve">THE ESTATE OF LEGACY</w:t>
      </w:r>
    </w:p>
    <w:p>
      <w:pPr>
        <w:pBdr>
          <w:bottom w:val="single" w:color="C4A95A" w:sz="6" w:space="8"/>
        </w:pBdr>
        <w:spacing w:before="0" w:after="200"/>
        <w:jc w:val="center"/>
      </w:pPr>
      <w:r>
        <w:rPr>
          <w:rFonts w:ascii="Garamond" w:cs="Garamond" w:eastAsia="Garamond" w:hAnsi="Garamond"/>
          <w:b w:val="false"/>
          <w:bCs w:val="false"/>
          <w:i/>
          <w:iCs/>
          <w:color w:val="555555"/>
          <w:sz w:val="28"/>
          <w:szCs w:val="28"/>
        </w:rPr>
        <w:t xml:space="preserve">The practices that separate the career from the business from the institution.</w:t>
      </w:r>
    </w:p>
    <w:p>
      <w:pPr>
        <w:spacing w:before="160" w:after="100"/>
        <w:jc w:val="both"/>
      </w:pPr>
      <w:r>
        <w:rPr>
          <w:rFonts w:ascii="Garamond" w:cs="Garamond" w:eastAsia="Garamond" w:hAnsi="Garamond"/>
          <w:b w:val="false"/>
          <w:bCs w:val="false"/>
          <w:i w:val="false"/>
          <w:iCs w:val="false"/>
          <w:color w:val="1A1A1A"/>
          <w:sz w:val="24"/>
          <w:szCs w:val="24"/>
        </w:rPr>
        <w:t xml:space="preserve">The Estate of Legacy is the doctrine of the ten-year arc. The practices here do not produce results this week. They produce the career that is different in year ten from the career that does not run them — the market position that cannot be purchased, the reputation that no marketing produces, the professional relationships that generate business without solicitation, the client network that compounds without effort. Legacy is not built. It accumulates. Every Estate before this one is the accumulation.</w:t>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XXIV</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Market Narrative</w:t>
      </w:r>
    </w:p>
    <w:p>
      <w:pPr>
        <w:spacing w:before="60" w:after="300"/>
        <w:jc w:val="left"/>
      </w:pPr>
      <w:r>
        <w:rPr>
          <w:rFonts w:ascii="Garamond" w:cs="Garamond" w:eastAsia="Garamond" w:hAnsi="Garamond"/>
          <w:b w:val="false"/>
          <w:bCs w:val="false"/>
          <w:i/>
          <w:iCs/>
          <w:color w:val="555555"/>
          <w:sz w:val="26"/>
          <w:szCs w:val="26"/>
        </w:rPr>
        <w:t xml:space="preserve">Every market has a story. The story is told by three or four agents whose analysis is quoted, whose interpretation is referenced, and whose opinion shapes the way professionals and consumers understand what is happening. In most markets, these positions are not held by the most productive agents. They are held by the agents who decided to hold them.</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agent who controls the narrative controls the market. Not through manipulation — through the consistent delivery of accurate, specific, interpreted analysis that neither Zillow nor the news provides. The position of market authority is available in every market. In most markets, it is vacant.</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The real estate market narrative in any local market is assembled from dozens of incomplete, contextually stripped data points — the MLS statistics that are released monthly, the newspaper headline that quotes one agent's interpretation, the consumer-facing platforms that report aggregated price data without local specificity, the national news that applies broad economic trends to markets with specific local dynamics that the national lens cannot capture. The consumer navigating a real estate decision in this information environment is not underserved. They are overwhelmed with data and starved for interpretation.</w:t>
      </w:r>
    </w:p>
    <w:p>
      <w:pPr>
        <w:spacing w:before="160" w:after="100"/>
        <w:jc w:val="both"/>
      </w:pPr>
      <w:r>
        <w:rPr>
          <w:rFonts w:ascii="Garamond" w:cs="Garamond" w:eastAsia="Garamond" w:hAnsi="Garamond"/>
          <w:b w:val="false"/>
          <w:bCs w:val="false"/>
          <w:i w:val="false"/>
          <w:iCs w:val="false"/>
          <w:color w:val="1A1A1A"/>
          <w:sz w:val="24"/>
          <w:szCs w:val="24"/>
        </w:rPr>
        <w:t xml:space="preserve">The interpretation gap — the distance between the available data and the contextually accurate interpretation of what that data means for a specific buyer or seller in a specific situation in a specific neighborhood — is the space in which market authority is built. The agent who fills this gap consistently, accurately, and specifically builds a professional reputation that no amount of marketing can replicate. The marketing produces brand awareness. The interpretation produces trust. The trust produces transactions.</w:t>
      </w:r>
    </w:p>
    <w:p>
      <w:pPr>
        <w:spacing w:before="160" w:after="100"/>
        <w:jc w:val="both"/>
      </w:pPr>
      <w:r>
        <w:rPr>
          <w:rFonts w:ascii="Garamond" w:cs="Garamond" w:eastAsia="Garamond" w:hAnsi="Garamond"/>
          <w:b w:val="false"/>
          <w:bCs w:val="false"/>
          <w:i w:val="false"/>
          <w:iCs w:val="false"/>
          <w:color w:val="1A1A1A"/>
          <w:sz w:val="24"/>
          <w:szCs w:val="24"/>
        </w:rPr>
        <w:t xml:space="preserve">The market narrative position is a media position, but not in the way most agents understand media. It is not built by appearing in advertisements or by running social media campaigns. It is built by producing specific, accurate, interpretation-rich analysis that the media — local newspaper, local news broadcast, local real estate industry publications, and the community's social media platforms — cannot produce internally. The journalist who needs an expert to interpret what the latest MLS statistics mean for the local buyer or seller is looking for one person they trust to provide accurate, quotable context. That person is available in every market. In most markets, no agent has taken the position.</w:t>
      </w:r>
    </w:p>
    <w:p>
      <w:pPr>
        <w:spacing w:before="160" w:after="100"/>
        <w:jc w:val="both"/>
      </w:pPr>
      <w:r>
        <w:rPr>
          <w:rFonts w:ascii="Garamond" w:cs="Garamond" w:eastAsia="Garamond" w:hAnsi="Garamond"/>
          <w:b w:val="false"/>
          <w:bCs w:val="false"/>
          <w:i w:val="false"/>
          <w:iCs w:val="false"/>
          <w:color w:val="1A1A1A"/>
          <w:sz w:val="24"/>
          <w:szCs w:val="24"/>
        </w:rPr>
        <w:t xml:space="preserve">The specific content that builds market narrative authority: the monthly market analysis that goes beyond reporting statistics to interpret them in the specific context of local conditions. Not "the median price increased 4.3% year-over-year" — the Zillow report already says that. Instead: "The 4.3% price increase reflects a specific dynamic in the $350,000-$450,000 range where there are currently 1.8 months of supply. The $600,000+ segment is telling a different story — 4.7 months of supply and a list-to-sale ratio that has declined for the third consecutive month. These are two different markets within the same ZIP code and buyers and sellers in each should understand them separately." This level of interpretation is not available anywhere else. The agent who provides it is the market authority.</w:t>
      </w:r>
    </w:p>
    <w:p>
      <w:pPr>
        <w:spacing w:before="160" w:after="100"/>
        <w:jc w:val="both"/>
      </w:pPr>
      <w:r>
        <w:rPr>
          <w:rFonts w:ascii="Garamond" w:cs="Garamond" w:eastAsia="Garamond" w:hAnsi="Garamond"/>
          <w:b w:val="false"/>
          <w:bCs w:val="false"/>
          <w:i w:val="false"/>
          <w:iCs w:val="false"/>
          <w:color w:val="1A1A1A"/>
          <w:sz w:val="24"/>
          <w:szCs w:val="24"/>
        </w:rPr>
        <w:t xml:space="preserve">The specific platforms through which market narrative authority is built: the monthly email newsletter to the professional and consumer network, the local newspaper's occasional feature on market conditions, the neighborhood Facebook group and Nextdoor presence where specific local questions arise, the podcast or video format for the agent who is comfortable in those media, and the professional network communication where other agents reference the analysis in their own client communications. The authority builds through consistent, accurate, specific interpretation delivered over time — not through a single viral piece of content or a one-time media appearance.</w:t>
      </w:r>
    </w:p>
    <w:p>
      <w:pPr>
        <w:spacing w:before="160" w:after="100"/>
        <w:jc w:val="both"/>
      </w:pPr>
      <w:r>
        <w:rPr>
          <w:rFonts w:ascii="Garamond" w:cs="Garamond" w:eastAsia="Garamond" w:hAnsi="Garamond"/>
          <w:b w:val="false"/>
          <w:bCs w:val="false"/>
          <w:i w:val="false"/>
          <w:iCs w:val="false"/>
          <w:color w:val="1A1A1A"/>
          <w:sz w:val="24"/>
          <w:szCs w:val="24"/>
        </w:rPr>
        <w:t xml:space="preserve">The compound of market narrative authority: the agent who has been the consistent voice of market interpretation in their market for three years is known to a population of potential clients who have never met them — who know their name from the analysis they have been consuming, who have a level of pre-built trust derived from the accuracy of the analysis over time, and who call this agent when the transaction decision arrives rather than searching for an agent through standard discovery channels. The inbound call generated by market authority is qualitatively different from any other inbound call available — the caller has already decided they trust the agent. The listing appointment is a formality.</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The Monthly Market Report — not the template that every brokerage provides, but a specific, interpreted, locally-calibrated analysis written in your own voice. Three components: (1) What the numbers show: the specific MLS statistics for your target market — absorption rate, median price, DOM, list-to-sale ratio — segmented by price range. (2) What the numbers mean: your specific interpretation of what these statistics indicate about the current market's direction and velocity. (3) What this means for specific decision-makers: the implication for a buyer currently searching, a seller currently listed, a seller considering listing in the next ninety days. This three-part structure converts data reporting into genuine analysis.</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The distribution architecture: send the monthly report to three audiences simultaneously. First: your personal and professional network via email — every past client, every professional contact, every active lead. Second: the local media — two or three journalists who cover local real estate, economy, or community news. Third: the professional network — every agent in your market who would find the analysis useful, and every professional adjacent to real estate (CPAs, attorneys, financial planners) whose clients make real estate decisions. The wider the distribution, the faster the authority compounds.</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The journalist relationship: identify every journalist who has written about real estate or the local economy in the last year in your market. Write them a personal note. "I produce a monthly market analysis specific to [target area] that several journalists have found useful as background research. I'd like to share it with you and make myself available for any questions the current market generates." The journalist who receives market analysis they can rely on has found an expert source they will use. The agent who is quoted as the expert in the local newspaper is the agent the reader calls.</w:t>
      </w:r>
    </w:p>
    <w:p>
      <w:pPr>
        <w:spacing w:before="90" w:after="70"/>
        <w:ind w:left="220"/>
      </w:pPr>
      <w:r>
        <w:rPr>
          <w:rFonts w:ascii="Garamond" w:cs="Garamond" w:eastAsia="Garamond" w:hAnsi="Garamond"/>
          <w:b/>
          <w:bCs/>
          <w:i w:val="false"/>
          <w:iCs w:val="false"/>
          <w:color w:val="C4A95A"/>
          <w:sz w:val="22"/>
          <w:szCs w:val="22"/>
        </w:rPr>
        <w:t xml:space="preserve">4.  </w:t>
      </w:r>
      <w:r>
        <w:rPr>
          <w:rFonts w:ascii="Garamond" w:cs="Garamond" w:eastAsia="Garamond" w:hAnsi="Garamond"/>
          <w:b w:val="false"/>
          <w:bCs w:val="false"/>
          <w:i w:val="false"/>
          <w:iCs w:val="false"/>
          <w:color w:val="1A1A1A"/>
          <w:sz w:val="22"/>
          <w:szCs w:val="22"/>
        </w:rPr>
        <w:t xml:space="preserve">The specific interpretation standard: never report without interpreting. Every statistic in your market report is followed by a specific "which means" statement. "DOM has increased to 42 days, which means buyers now have time to conduct a second showing before making an offer — which changes the offer urgency calculus for sellers who are waiting for multiple offers." This level of interpretation requires genuine market knowledge and genuine analytical investment. It also produces a quality of analysis that no automated report can provide. The quality of the analysis is the barrier to competition. Almost no agent will invest sufficiently to replicate it.</w:t>
      </w:r>
    </w:p>
    <w:p>
      <w:pPr>
        <w:spacing w:before="90" w:after="70"/>
        <w:ind w:left="220"/>
      </w:pPr>
      <w:r>
        <w:rPr>
          <w:rFonts w:ascii="Garamond" w:cs="Garamond" w:eastAsia="Garamond" w:hAnsi="Garamond"/>
          <w:b/>
          <w:bCs/>
          <w:i w:val="false"/>
          <w:iCs w:val="false"/>
          <w:color w:val="C4A95A"/>
          <w:sz w:val="22"/>
          <w:szCs w:val="22"/>
        </w:rPr>
        <w:t xml:space="preserve">5.  </w:t>
      </w:r>
      <w:r>
        <w:rPr>
          <w:rFonts w:ascii="Garamond" w:cs="Garamond" w:eastAsia="Garamond" w:hAnsi="Garamond"/>
          <w:b w:val="false"/>
          <w:bCs w:val="false"/>
          <w:i w:val="false"/>
          <w:iCs w:val="false"/>
          <w:color w:val="1A1A1A"/>
          <w:sz w:val="22"/>
          <w:szCs w:val="22"/>
        </w:rPr>
        <w:t xml:space="preserve">The social media market narrative: once per week, post one specific, interpreted market observation to the digital community platforms in your geographic farm. Not a market statistics summary — a specific observation: "Three properties in [neighborhood] listed above $500,000 this week. Two already reduced. One in multiple offers. Which properties are producing which outcomes and why? Here's the specific read:" The specific interpretation, delivered weekly with this level of specificity, positions you as the agent who is paying attention while everyone else is posting sold signs.</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Market narrative agent versus standard agent. Same production level. Three years.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1: market narrative agent publishes monthly analysis. Two newspaper quotes. Modest additional awareness.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6</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7</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8.0</w:t>
      </w:r>
      <w:r>
        <w:rPr>
          <w:rFonts w:ascii="Garamond" w:cs="Garamond" w:eastAsia="Garamond" w:hAnsi="Garamond"/>
          <w:b w:val="false"/>
          <w:bCs w:val="false"/>
          <w:i/>
          <w:iCs/>
          <w:color w:val="555555"/>
          <w:sz w:val="18"/>
          <w:szCs w:val="18"/>
        </w:rPr>
        <w:t xml:space="preserve">  — Compound beginning. Market awareness growing in the professional and consumer network.</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2: analysis referenced by three cooperating agents in their client communications.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9.5</w:t>
      </w:r>
      <w:r>
        <w:rPr>
          <w:rFonts w:ascii="Garamond" w:cs="Garamond" w:eastAsia="Garamond" w:hAnsi="Garamond"/>
          <w:b w:val="false"/>
          <w:bCs w:val="false"/>
          <w:i/>
          <w:iCs/>
          <w:color w:val="555555"/>
          <w:sz w:val="18"/>
          <w:szCs w:val="18"/>
        </w:rPr>
        <w:t xml:space="preserve">  — "According to [agent]'s monthly report..." Market authority transitioning from individual-produced to community-acknowledged.</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3: inbound calls from consumers who have been reading the analysis for two years.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10.5</w:t>
      </w:r>
      <w:r>
        <w:rPr>
          <w:rFonts w:ascii="Garamond" w:cs="Garamond" w:eastAsia="Garamond" w:hAnsi="Garamond"/>
          <w:b w:val="false"/>
          <w:bCs w:val="false"/>
          <w:i/>
          <w:iCs/>
          <w:color w:val="555555"/>
          <w:sz w:val="18"/>
          <w:szCs w:val="18"/>
        </w:rPr>
        <w:t xml:space="preserve">  — "I've been following your market analysis for a year and we're ready to buy. We want to work with you." No listing appointment required.</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3: first journalist feature article quoting the agent as the local market expert.</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10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11.0</w:t>
      </w:r>
      <w:r>
        <w:rPr>
          <w:rFonts w:ascii="Garamond" w:cs="Garamond" w:eastAsia="Garamond" w:hAnsi="Garamond"/>
          <w:b w:val="false"/>
          <w:bCs w:val="false"/>
          <w:i/>
          <w:iCs/>
          <w:color w:val="555555"/>
          <w:sz w:val="18"/>
          <w:szCs w:val="18"/>
        </w:rPr>
        <w:t xml:space="preserve">  — The feature produces 14 inbound contacts in the month of publication. Market authority has become self-sustaining.</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In your market right now, who is the agent whose analysis is quoted, whose interpretation is referenced, whose opinion shapes the way buyers and sellers understand the market? If the answer is not you, what specifically is stopping you from building that position? The position is not held by the most talented agent in the market. It is held by the most consistent one.</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Market Narrative Build</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Month 1: Write the first monthly market analysis in the three-part format. Distribute to your full network. Identify three local journalists and send them the report. Month 2: write the second analysis. Begin the weekly social media observation. Month 3: send a personal note to every journalist who wrote about real estate in the last year. Continue the rhythm for 24 months without interruption. At month 24, evaluate: how many inbound calls in the last quarter cited your analysis as their introduction to you? The number will tell you whether the authority has been built. The authority, once built, does not require maintenance. It requires only continuation.</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XXV</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Three-Transaction Vision</w:t>
      </w:r>
    </w:p>
    <w:p>
      <w:pPr>
        <w:spacing w:before="60" w:after="300"/>
        <w:jc w:val="left"/>
      </w:pPr>
      <w:r>
        <w:rPr>
          <w:rFonts w:ascii="Garamond" w:cs="Garamond" w:eastAsia="Garamond" w:hAnsi="Garamond"/>
          <w:b w:val="false"/>
          <w:bCs w:val="false"/>
          <w:i/>
          <w:iCs/>
          <w:color w:val="555555"/>
          <w:sz w:val="26"/>
          <w:szCs w:val="26"/>
        </w:rPr>
        <w:t xml:space="preserve">Every client you serve has the potential to produce three transactions. The one in front of you. The one they are part of when they refer their first colleague. The one that colleague refers six months later. The agent who manages clients toward a single transaction manages one-third of the available value in every relationship. The agent who manages toward the three-transaction vision manages a business that compounds indefinitely.</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single transaction is the agent's fee for services rendered. The referral is the market's assessment of the quality of those services. The compounded referral is the proof that the services were worth remembering. Build toward the third transaction in every first transaction and the career compounds forever.</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The referral is the most valuable form of business development available in residential real estate, and it is the most consistently underdeveloped. Most agents understand that referrals are valuable in a general sense — that referred clients convert at higher rates, require less marketing cost, and close at higher commission rates than cold-acquired clients. Most agents also rely on referrals primarily passively — they receive them when clients think to send them, which is an unpredictable, inconsistent, and structurally under-producing source of business.</w:t>
      </w:r>
    </w:p>
    <w:p>
      <w:pPr>
        <w:spacing w:before="160" w:after="100"/>
        <w:jc w:val="both"/>
      </w:pPr>
      <w:r>
        <w:rPr>
          <w:rFonts w:ascii="Garamond" w:cs="Garamond" w:eastAsia="Garamond" w:hAnsi="Garamond"/>
          <w:b w:val="false"/>
          <w:bCs w:val="false"/>
          <w:i w:val="false"/>
          <w:iCs w:val="false"/>
          <w:color w:val="1A1A1A"/>
          <w:sz w:val="24"/>
          <w:szCs w:val="24"/>
        </w:rPr>
        <w:t xml:space="preserve">The agents who generate referral rates of 60-75% of their annual business — the agents whose career has become effectively self-sustaining through client advocacy — have not accomplished this through referral systems or follow-up scripts. They have accomplished it through the management of client relationships at the level of the three-transaction vision. The three-transaction vision is the practice of managing every client relationship from the first moment with the explicit awareness that the value of this relationship is not the transaction in progress. The value of this relationship is the relationship.</w:t>
      </w:r>
    </w:p>
    <w:p>
      <w:pPr>
        <w:spacing w:before="160" w:after="100"/>
        <w:jc w:val="both"/>
      </w:pPr>
      <w:r>
        <w:rPr>
          <w:rFonts w:ascii="Garamond" w:cs="Garamond" w:eastAsia="Garamond" w:hAnsi="Garamond"/>
          <w:b w:val="false"/>
          <w:bCs w:val="false"/>
          <w:i w:val="false"/>
          <w:iCs w:val="false"/>
          <w:color w:val="1A1A1A"/>
          <w:sz w:val="24"/>
          <w:szCs w:val="24"/>
        </w:rPr>
        <w:t xml:space="preserve">The referral that produces the second transaction is not produced by asking for referrals. It is produced by the quality of the first transaction experience — specifically, the combination of professional competence and genuine care that produces the specific internal state in the client that makes them want to tell other people about what they experienced. This state is not produced by every competent transaction. It is produced by the transaction that was also emotionally intelligent, where the client felt genuinely seen and genuinely protected, where they discovered things about the process that surprised them in a positive way, and where they left the closing table with the specific feeling that they had access to a professional who understood things about their situation that they had never expected a real estate agent to understand.</w:t>
      </w:r>
    </w:p>
    <w:p>
      <w:pPr>
        <w:spacing w:before="160" w:after="100"/>
        <w:jc w:val="both"/>
      </w:pPr>
      <w:r>
        <w:rPr>
          <w:rFonts w:ascii="Garamond" w:cs="Garamond" w:eastAsia="Garamond" w:hAnsi="Garamond"/>
          <w:b w:val="false"/>
          <w:bCs w:val="false"/>
          <w:i w:val="false"/>
          <w:iCs w:val="false"/>
          <w:color w:val="1A1A1A"/>
          <w:sz w:val="24"/>
          <w:szCs w:val="24"/>
        </w:rPr>
        <w:t xml:space="preserve">The specific practices that produce the referral-generating client experience have been described throughout this doctrine: the pre-decision signal (Estate I), the disclosure rather than concealment (Estate II), the net sheet first (Estate VI), the appraisal package (Estate XI), the reluctant partner attention (Estate V), the inspection preparation (Estate X), the emotional transaction management (Estate XXII). These practices are not referral strategies. They are professional competence standards. The referral is not a goal the agent pursues. It is the evidence the client produces when the professional competence standard has been met.</w:t>
      </w:r>
    </w:p>
    <w:p>
      <w:pPr>
        <w:spacing w:before="160" w:after="100"/>
        <w:jc w:val="both"/>
      </w:pPr>
      <w:r>
        <w:rPr>
          <w:rFonts w:ascii="Garamond" w:cs="Garamond" w:eastAsia="Garamond" w:hAnsi="Garamond"/>
          <w:b w:val="false"/>
          <w:bCs w:val="false"/>
          <w:i w:val="false"/>
          <w:iCs w:val="false"/>
          <w:color w:val="1A1A1A"/>
          <w:sz w:val="24"/>
          <w:szCs w:val="24"/>
        </w:rPr>
        <w:t xml:space="preserve">The three-transaction vision requires one specific practice that most agents never implement: the explicit closing conversation. Not the thank-you call three days after closing. The closing conversation — at or near the closing date — in which the agent specifically names what was achieved, invites the client to share their experience honestly, and makes one specific offer: "If you know anyone in your life who is navigating a real estate decision and could benefit from someone who approaches this the way we have approached yours — I would be honored to serve them the same way I served you." This sentence is not a referral request. It is an invitation to advocate. The client who has been served at this level and who receives this specific invitation responds differently from the client who receives a generic ask for referrals.</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The three-transaction audit: at the end of every transaction, ask three questions privately. (1) Did this client experience the quality of professional care that produces genuine advocacy? (2) Is there one person in this client's life who is clearly in a real estate decision stage and who this client would naturally tell about their experience? (3) Have I made it explicit to this client that I would welcome the opportunity to serve their network? If the answer to any of these is no, the specific gap is addressable before the relationship cools.</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The closing conversation protocol: within five days of closing, call the client specifically for the closing conversation. Not to ask for referrals. To close the emotional chapter of the transaction. "I want to take a few minutes to hear how you're feeling about everything now that it's behind you." This conversation, conducted genuinely, produces two outcomes: the honest feedback that reveals whether the experience was referral-quality, and the specific moment in which the invitation to advocate can be issued authentically.</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The annual client connection: once per year, every year, contact every past client who has not yet referred. Not to ask for referrals. To deliver value. A specific market update for their specific property. A relevant neighborhood development. A genuine check-in on the experience of living in the property they purchased or in the new chapter that the sale enabled. The contact that delivers value without asking for anything is the contact that eventually produces the referral — because it continues to reinforce the quality of the relationship beyond the transaction.</w:t>
      </w:r>
    </w:p>
    <w:p>
      <w:pPr>
        <w:spacing w:before="90" w:after="70"/>
        <w:ind w:left="220"/>
      </w:pPr>
      <w:r>
        <w:rPr>
          <w:rFonts w:ascii="Garamond" w:cs="Garamond" w:eastAsia="Garamond" w:hAnsi="Garamond"/>
          <w:b/>
          <w:bCs/>
          <w:i w:val="false"/>
          <w:iCs w:val="false"/>
          <w:color w:val="C4A95A"/>
          <w:sz w:val="22"/>
          <w:szCs w:val="22"/>
        </w:rPr>
        <w:t xml:space="preserve">4.  </w:t>
      </w:r>
      <w:r>
        <w:rPr>
          <w:rFonts w:ascii="Garamond" w:cs="Garamond" w:eastAsia="Garamond" w:hAnsi="Garamond"/>
          <w:b w:val="false"/>
          <w:bCs w:val="false"/>
          <w:i w:val="false"/>
          <w:iCs w:val="false"/>
          <w:color w:val="1A1A1A"/>
          <w:sz w:val="22"/>
          <w:szCs w:val="22"/>
        </w:rPr>
        <w:t xml:space="preserve">The referral acknowledgment: when a referral arrives, acknowledge it immediately and specifically — to the person who sent it. Not a thank-you card. A call. "I wanted to call you personally to tell you that [referred person's name] reached out and I appreciate the trust your referral represents. I am going to take care of them the way I took care of you." This call does three things: it confirms the referral arrived, it reinforces the quality of the original experience, and it signals that the care being extended to the referred person is continuous with the care that produced the referral.</w:t>
      </w:r>
    </w:p>
    <w:p>
      <w:pPr>
        <w:spacing w:before="90" w:after="70"/>
        <w:ind w:left="220"/>
      </w:pPr>
      <w:r>
        <w:rPr>
          <w:rFonts w:ascii="Garamond" w:cs="Garamond" w:eastAsia="Garamond" w:hAnsi="Garamond"/>
          <w:b/>
          <w:bCs/>
          <w:i w:val="false"/>
          <w:iCs w:val="false"/>
          <w:color w:val="C4A95A"/>
          <w:sz w:val="22"/>
          <w:szCs w:val="22"/>
        </w:rPr>
        <w:t xml:space="preserve">5.  </w:t>
      </w:r>
      <w:r>
        <w:rPr>
          <w:rFonts w:ascii="Garamond" w:cs="Garamond" w:eastAsia="Garamond" w:hAnsi="Garamond"/>
          <w:b w:val="false"/>
          <w:bCs w:val="false"/>
          <w:i w:val="false"/>
          <w:iCs w:val="false"/>
          <w:color w:val="1A1A1A"/>
          <w:sz w:val="22"/>
          <w:szCs w:val="22"/>
        </w:rPr>
        <w:t xml:space="preserve">The referral network map: maintain a visual map of your referral network — who referred whom, when, and what the outcome was. This map tells you three things: who your most productive advocates are (the people whose referrals produce the most transactions), which network clusters are not yet active (the past clients who have never referred), and the specific compounding structure of the referral network (whether the second-generation referrals from referred clients are occurring, which is the signal that the three-transaction vision is actually functioning).</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Agent with three-transaction vision versus transactional agent. Same volume. Ten years.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1-3: Three-transaction agent builds referral network through quality of service.</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7</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9.0</w:t>
      </w:r>
      <w:r>
        <w:rPr>
          <w:rFonts w:ascii="Garamond" w:cs="Garamond" w:eastAsia="Garamond" w:hAnsi="Garamond"/>
          <w:b w:val="false"/>
          <w:bCs w:val="false"/>
          <w:i/>
          <w:iCs/>
          <w:color w:val="555555"/>
          <w:sz w:val="18"/>
          <w:szCs w:val="18"/>
        </w:rPr>
        <w:t xml:space="preserve">  — Referral rate growing from 18% to 34%. Each transaction producing advocates rather than one-time clients.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5: Referral rate at 58%. Majority of new business pre-converted before first contact.</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10.0</w:t>
      </w:r>
      <w:r>
        <w:rPr>
          <w:rFonts w:ascii="Garamond" w:cs="Garamond" w:eastAsia="Garamond" w:hAnsi="Garamond"/>
          <w:b w:val="false"/>
          <w:bCs w:val="false"/>
          <w:i/>
          <w:iCs/>
          <w:color w:val="555555"/>
          <w:sz w:val="18"/>
          <w:szCs w:val="18"/>
        </w:rPr>
        <w:t xml:space="preserve">  — The first conversation is a confirmation, not a qualification. The relationship was built before the call.</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10: Three-transaction agent. Referral rate 71%. Business self-sustaining.</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10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10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11.5</w:t>
      </w:r>
      <w:r>
        <w:rPr>
          <w:rFonts w:ascii="Garamond" w:cs="Garamond" w:eastAsia="Garamond" w:hAnsi="Garamond"/>
          <w:b w:val="false"/>
          <w:bCs w:val="false"/>
          <w:i/>
          <w:iCs/>
          <w:color w:val="555555"/>
          <w:sz w:val="18"/>
          <w:szCs w:val="18"/>
        </w:rPr>
        <w:t xml:space="preserve">  — $0 in consumer marketing spend. $0 in cold prospecting time. Business feeds itself from the network it built.</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10: Transactional agent. Referral rate 21%. Still prospecting.</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4</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6</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0.5</w:t>
      </w:r>
      <w:r>
        <w:rPr>
          <w:rFonts w:ascii="Garamond" w:cs="Garamond" w:eastAsia="Garamond" w:hAnsi="Garamond"/>
          <w:b w:val="false"/>
          <w:bCs w:val="false"/>
          <w:i/>
          <w:iCs/>
          <w:color w:val="555555"/>
          <w:sz w:val="18"/>
          <w:szCs w:val="18"/>
        </w:rPr>
        <w:t xml:space="preserve">  — Marketing spend: $18,000/year. Time in cold prospecting: 8 hours/week. Business starts from scratch every January.</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Ten-year GCI comparison.</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Three-transaction agent: $2.8M over 10 years. Transactional agent: $1.9M. Same market. Same production level year 1. The compound is the three-transaction vision.</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What percentage of your business last year came from referrals? What is your target percentage? What is the specific distance between the two? And what is the specific practice change that closes that distance?</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Three-Transaction Vision Practice</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After every closing, run the three-transaction audit. Make the closing conversation call within five days. Build the referral network map — start it this week for every transaction in the last three years. Set up the annual client connection system — 20 minutes per client per year, once per year, delivering specific value. Track the referral rate quarterly. Target: increase the referral rate by 10 percentage points per year for three consecutive years. The compound from this practice is the compound that makes the career permanent.</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XXVI</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Loan Officer as Partner</w:t>
      </w:r>
    </w:p>
    <w:p>
      <w:pPr>
        <w:spacing w:before="60" w:after="300"/>
        <w:jc w:val="left"/>
      </w:pPr>
      <w:r>
        <w:rPr>
          <w:rFonts w:ascii="Garamond" w:cs="Garamond" w:eastAsia="Garamond" w:hAnsi="Garamond"/>
          <w:b w:val="false"/>
          <w:bCs w:val="false"/>
          <w:i/>
          <w:iCs/>
          <w:color w:val="555555"/>
          <w:sz w:val="26"/>
          <w:szCs w:val="26"/>
        </w:rPr>
        <w:t xml:space="preserve">The loan officer who closes thirty transactions per year knows thirty buyers who are in the market right now. The agent who is their preferred referral partner receives the first call for every pre-approved buyer who has not yet found an agent. One relationship. One phone call from the right loan officer. More qualified buyer business than most agents generate from an entire year of prospecting.</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loan officer's job is to finance transactions. The agent's job is to produce them. The overlap between these two jobs is every buyer who needs both. The agent who is the loan officer's first call gets every buyer in that overlap.</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The mortgage lending relationship is the most systematically underutilized professional relationship in residential real estate. Every loan officer who produces significant volume has a population of pre-approved buyers who do not yet have agent representation. These buyers have confirmed their financing capability, clarified their price range, and established their purchase timeline with a professional whose job requires understanding their financial situation at a depth no agent typically reaches before the first showing. The loan officer knows which buyers are ready to purchase in thirty days and which are ready in six months. They know which buyers have realistic expectations and which are aspirational. They know the financial situation of every buyer in their pipeline at a level of specificity that is both invaluable and entirely inaccessible to any agent who does not have a genuine relationship with them.</w:t>
      </w:r>
    </w:p>
    <w:p>
      <w:pPr>
        <w:spacing w:before="160" w:after="100"/>
        <w:jc w:val="both"/>
      </w:pPr>
      <w:r>
        <w:rPr>
          <w:rFonts w:ascii="Garamond" w:cs="Garamond" w:eastAsia="Garamond" w:hAnsi="Garamond"/>
          <w:b w:val="false"/>
          <w:bCs w:val="false"/>
          <w:i w:val="false"/>
          <w:iCs w:val="false"/>
          <w:color w:val="1A1A1A"/>
          <w:sz w:val="24"/>
          <w:szCs w:val="24"/>
        </w:rPr>
        <w:t xml:space="preserve">The relationship that converts a loan officer from a transaction service provider into a true partner requires the agent to provide something the loan officer genuinely values in return. The loan officer's business depends on purchase transactions — which means the loan officer's business depends on agents who produce purchase transactions consistently and who protect the loan officer's client relationship through the transaction. The agent who refers buyers to a specific loan officer and who handles those referrals with the quality and speed that protect the loan officer's relationship earns the reciprocal referrals that convert the partnership from transactional to strategic.</w:t>
      </w:r>
    </w:p>
    <w:p>
      <w:pPr>
        <w:spacing w:before="160" w:after="100"/>
        <w:jc w:val="both"/>
      </w:pPr>
      <w:r>
        <w:rPr>
          <w:rFonts w:ascii="Garamond" w:cs="Garamond" w:eastAsia="Garamond" w:hAnsi="Garamond"/>
          <w:b w:val="false"/>
          <w:bCs w:val="false"/>
          <w:i w:val="false"/>
          <w:iCs w:val="false"/>
          <w:color w:val="1A1A1A"/>
          <w:sz w:val="24"/>
          <w:szCs w:val="24"/>
        </w:rPr>
        <w:t xml:space="preserve">The specific practices that build the loan officer partnership: the referral of every pre-qualified buyer to the preferred loan officer before the search begins, the communication of every buyer's transaction progress in real time so the loan officer can manage the file accordingly, the protection of the loan officer's relationship with the buyer through the transaction by never undermining the lender relationship or suggesting alternative financing after the buyer is committed, and the specific acknowledgment to the buyer that the loan officer partnership is a deliberate professional choice that benefits the buyer. These practices build the loyalty that produces the reciprocal referral.</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Identify the top five loan officers in your market by purchase transaction volume — not total loan volume, purchase specifically. Search your MLS for the lender names on the last one hundred closed transactions in your target price range. The five names that appear most frequently are the loan officers who produce the most purchase business. These are your target partners.</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The partnership meeting structure: arrive with specific value to offer, not a request for referrals. "I refer every buyer I represent to a preferred lender and I would like to evaluate whether our businesses are compatible for a referral arrangement. Here is what I bring to the partnership: [specific buyer volume, specific commitment to communication speed, specific protection of the lender relationship through the transaction]. What would a successful referral partnership look like from your side?" The meeting establishes mutual value before any agreement is discussed.</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The communication standard that differentiates the agent-as-true-partner: send the loan officer a weekly transaction status update on every file they are working. Not a request for status — a provision of status. "The inspection was completed yesterday. Results were as expected. No significant issues. We expect the addendum to be clean. The appraisal is scheduled for Thursday. I wanted to make sure you had the timeline." This communication style is practiced by fewer than 5% of agents in most markets. The loan officer who receives it designates that agent as their preferred partner.</w:t>
      </w:r>
    </w:p>
    <w:p>
      <w:pPr>
        <w:spacing w:before="90" w:after="70"/>
        <w:ind w:left="220"/>
      </w:pPr>
      <w:r>
        <w:rPr>
          <w:rFonts w:ascii="Garamond" w:cs="Garamond" w:eastAsia="Garamond" w:hAnsi="Garamond"/>
          <w:b/>
          <w:bCs/>
          <w:i w:val="false"/>
          <w:iCs w:val="false"/>
          <w:color w:val="C4A95A"/>
          <w:sz w:val="22"/>
          <w:szCs w:val="22"/>
        </w:rPr>
        <w:t xml:space="preserve">4.  </w:t>
      </w:r>
      <w:r>
        <w:rPr>
          <w:rFonts w:ascii="Garamond" w:cs="Garamond" w:eastAsia="Garamond" w:hAnsi="Garamond"/>
          <w:b w:val="false"/>
          <w:bCs w:val="false"/>
          <w:i w:val="false"/>
          <w:iCs w:val="false"/>
          <w:color w:val="1A1A1A"/>
          <w:sz w:val="22"/>
          <w:szCs w:val="22"/>
        </w:rPr>
        <w:t xml:space="preserve">Maintain the loan officer relationship with genuine value outside of transactions. A quarterly lunch. A relevant market insight that affects their underwriting decisions. A referral of a homeowner who needs a refinance review. The relationship that exists only in the transaction context produces transactional referrals. The relationship that exists in the professional context produces partnership referrals. The difference is significant.</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Agent with one preferred loan officer partnership versus no preferential lending relationship.</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Loan officer with 35 annual purchase transactions, 8 buyers without agent representation at any time.</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9.5</w:t>
      </w:r>
      <w:r>
        <w:rPr>
          <w:rFonts w:ascii="Garamond" w:cs="Garamond" w:eastAsia="Garamond" w:hAnsi="Garamond"/>
          <w:b w:val="false"/>
          <w:bCs w:val="false"/>
          <w:i/>
          <w:iCs/>
          <w:color w:val="555555"/>
          <w:sz w:val="18"/>
          <w:szCs w:val="18"/>
        </w:rPr>
        <w:t xml:space="preserve">  — 8 pre-approved buyers per year referred to preferred agent. Zero marketing cost. 100% conversion from referral to represented.</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No loan officer partner: same buyers find agent through Zillow lead, referral competition, or cold outreach.</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6</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40% conversion from cold contact. Marketing cost: $400-$600 per acquired client.</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3: preferred agent. 24 loan officer referrals over 3 years.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10.5</w:t>
      </w:r>
      <w:r>
        <w:rPr>
          <w:rFonts w:ascii="Garamond" w:cs="Garamond" w:eastAsia="Garamond" w:hAnsi="Garamond"/>
          <w:b w:val="false"/>
          <w:bCs w:val="false"/>
          <w:i/>
          <w:iCs/>
          <w:color w:val="555555"/>
          <w:sz w:val="18"/>
          <w:szCs w:val="18"/>
        </w:rPr>
        <w:t xml:space="preserve">  — $0 marketing cost. 100% conversion. Average commission: $9,200. Total from partnership: $220,800.</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Who is your preferred loan officer? If you do not have one, calculate the buyers you have represented in the last three years who were financed by a lender who does not refer you buyers. What was the one-way value of those relationships?</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Loan Officer Partnership</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This week: pull the lender names from your last 50 closed purchase transactions. Identify the top three by frequency. Write partnership meeting requests to all three. In the meetings: establish the mutual value exchange. Implement the weekly communication standard on every shared transaction. Measure the referral count at six months.</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XXVII</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Water Meter Intelligence</w:t>
      </w:r>
    </w:p>
    <w:p>
      <w:pPr>
        <w:spacing w:before="60" w:after="300"/>
        <w:jc w:val="left"/>
      </w:pPr>
      <w:r>
        <w:rPr>
          <w:rFonts w:ascii="Garamond" w:cs="Garamond" w:eastAsia="Garamond" w:hAnsi="Garamond"/>
          <w:b w:val="false"/>
          <w:bCs w:val="false"/>
          <w:i/>
          <w:iCs/>
          <w:color w:val="555555"/>
          <w:sz w:val="26"/>
          <w:szCs w:val="26"/>
        </w:rPr>
        <w:t xml:space="preserve">Every new home construction permit filed in your market identifies a buyer. Not a hypothetical buyer — a human being who has just signed a contract for a new construction home and who, in the majority of cases, also owns a property they will need to sell. The water meter pull is the mechanism that converts the construction permit into a seller lead before any other agent knows the seller exists.</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new construction buyer is a seller first. The agent who knows this and who acts on the construction permit before anyone else owns the listing conversation that every other agent will never have.</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New construction sales generate a secondary market effect that is invisible to most residential agents: the buyer of the new construction property is frequently the owner of an existing property who has decided to move into a new home. This decision was made months before the new construction sale became public knowledge, and it will result in a listing that emerges in the market at a specific, predictable time — approximately sixty to one hundred twenty days before the new construction closing, when the buyer needs to sell their existing home to fund or facilitate the move.</w:t>
      </w:r>
    </w:p>
    <w:p>
      <w:pPr>
        <w:spacing w:before="160" w:after="100"/>
        <w:jc w:val="both"/>
      </w:pPr>
      <w:r>
        <w:rPr>
          <w:rFonts w:ascii="Garamond" w:cs="Garamond" w:eastAsia="Garamond" w:hAnsi="Garamond"/>
          <w:b w:val="false"/>
          <w:bCs w:val="false"/>
          <w:i w:val="false"/>
          <w:iCs w:val="false"/>
          <w:color w:val="1A1A1A"/>
          <w:sz w:val="24"/>
          <w:szCs w:val="24"/>
        </w:rPr>
        <w:t xml:space="preserve">The water meter application or building permit for the new construction is filed at the beginning of the construction process — twelve to eighteen months before the construction closes in most markets. This filing is public. It identifies the lot address. The sales center for the development maintains the purchase records, but the water meter application ties the lot to the address. Cross-referencing the lot addresses with county assessor records for existing homeowners who are purchasing specific lots requires one hour of research per development. The result is a list of future sellers whose listing decision is twelve to eighteen months away.</w:t>
      </w:r>
    </w:p>
    <w:p>
      <w:pPr>
        <w:spacing w:before="160" w:after="100"/>
        <w:jc w:val="both"/>
      </w:pPr>
      <w:r>
        <w:rPr>
          <w:rFonts w:ascii="Garamond" w:cs="Garamond" w:eastAsia="Garamond" w:hAnsi="Garamond"/>
          <w:b w:val="false"/>
          <w:bCs w:val="false"/>
          <w:i w:val="false"/>
          <w:iCs w:val="false"/>
          <w:color w:val="1A1A1A"/>
          <w:sz w:val="24"/>
          <w:szCs w:val="24"/>
        </w:rPr>
        <w:t xml:space="preserve">The agent who contacts the new construction buyer twelve months before the construction closes is not contacting a motivated seller. They are contacting a future seller at the moment of maximum relationship-building opportunity. The buyer who has just committed to a new construction home is excited about the future property and not yet anxious about the existing property sale. They are in the most receptive state available for the professional relationship that will produce their listing a year later.</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Pull all new construction building permits and water meter applications filed in your market in the last six months. Cross-reference the lot addresses with the county assessor records to identify which lots are assigned to existing homeowners. Contact those homeowners within thirty days of the permit filing with a note: "I noticed you recently acquired a lot in [development] — congratulations. I work extensively in the neighborhoods where new construction buyers typically own their existing homes and I'd love to connect about the timing and strategy for your existing home when the time comes."</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Visit the sales centers of every active new construction development in your market. Build a relationship with the sales representatives. Many new construction sales representatives are willing to refer buyers whose existing home sale needs are not handled by the development's preferred agent.</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Track the construction timeline for every identified future seller. Set reminders at six months before expected construction close for the first proactive listing conversation.</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Agent monitoring new construction permits versus agent without this practice.</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New construction market: 180 new home sales per year. 65% are existing homeowners who will list.</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7</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9.0</w:t>
      </w:r>
      <w:r>
        <w:rPr>
          <w:rFonts w:ascii="Garamond" w:cs="Garamond" w:eastAsia="Garamond" w:hAnsi="Garamond"/>
          <w:b w:val="false"/>
          <w:bCs w:val="false"/>
          <w:i/>
          <w:iCs/>
          <w:color w:val="555555"/>
          <w:sz w:val="18"/>
          <w:szCs w:val="18"/>
        </w:rPr>
        <w:t xml:space="preserve">  — 117 future sellers per year identified from permit monitoring. 6-12 months before they become visible to any other agent.</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2: 14 listings from new construction seller contacts. Average listing value: $385,000.</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10.0</w:t>
      </w:r>
      <w:r>
        <w:rPr>
          <w:rFonts w:ascii="Garamond" w:cs="Garamond" w:eastAsia="Garamond" w:hAnsi="Garamond"/>
          <w:b w:val="false"/>
          <w:bCs w:val="false"/>
          <w:i/>
          <w:iCs/>
          <w:color w:val="555555"/>
          <w:sz w:val="18"/>
          <w:szCs w:val="18"/>
        </w:rPr>
        <w:t xml:space="preserve">  — $128,000 additional GCI. Zero competition at the listing conversation. Agent was the only one who called.</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How many new construction sales closed in your market last year? How many of those buyers also owned existing properties that needed to be sold? Did any of those listings go to you — and if not, what would monitoring the permit records have changed?</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Water Meter Practice</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This week: pull the last 6 months of new construction permits. Identify the existing homeowners. Write the first contact letters. Build the six-month reminder system. Continue monthly.</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XXVIII</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Correct CMA</w:t>
      </w:r>
    </w:p>
    <w:p>
      <w:pPr>
        <w:spacing w:before="60" w:after="300"/>
        <w:jc w:val="left"/>
      </w:pPr>
      <w:r>
        <w:rPr>
          <w:rFonts w:ascii="Garamond" w:cs="Garamond" w:eastAsia="Garamond" w:hAnsi="Garamond"/>
          <w:b w:val="false"/>
          <w:bCs w:val="false"/>
          <w:i/>
          <w:iCs/>
          <w:color w:val="555555"/>
          <w:sz w:val="26"/>
          <w:szCs w:val="26"/>
        </w:rPr>
        <w:t xml:space="preserve">The comparative market analysis is the most important document in the listing relationship and the most consistently manipulated. It is manipulated not by dishonest agents but by agents who present the analysis as a tool of persuasion rather than a tool of accurate valuation. The correct CMA is an honest document. It is also a more effective listing tool than the inflated one — because the seller who receives an honest CMA trusts the agent who delivered it at a level the inflated CMA never produces.</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CMA is either an honest assessment of what the market will produce or it is a number the agent calculated by working backward from what the seller wants to hear. The latter wins more listing appointments and loses more transactions. The former wins fewer appointments and closes more transactions.</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Every listing agent who has prepared a CMA for a competitive listing appointment has felt the specific pressure to shade the analysis toward the seller's number. Not through explicit dishonesty — through the selection of comparables that support the higher price, through the adjustment methodology that favors the subject property, through the exclusion of recent sales that would have brought the value down. This pressure is not malicious. It is the market's test of the agent's pricing courage.</w:t>
      </w:r>
    </w:p>
    <w:p>
      <w:pPr>
        <w:spacing w:before="160" w:after="100"/>
        <w:jc w:val="both"/>
      </w:pPr>
      <w:r>
        <w:rPr>
          <w:rFonts w:ascii="Garamond" w:cs="Garamond" w:eastAsia="Garamond" w:hAnsi="Garamond"/>
          <w:b w:val="false"/>
          <w:bCs w:val="false"/>
          <w:i w:val="false"/>
          <w:iCs w:val="false"/>
          <w:color w:val="1A1A1A"/>
          <w:sz w:val="24"/>
          <w:szCs w:val="24"/>
        </w:rPr>
        <w:t xml:space="preserve">The consequences of inflated CMA pricing have been described throughout this doctrine. The overpriced listing sits on the market. The DOM accumulates. The price reduces. The net proceeds to the seller are lower than the honest CMA would have produced — because the market stigma of extended DOM produces a lower final sale price than a correct initial price would have generated. The agent who inflated the CMA to win the appointment is, in the end, responsible for a financial outcome worse than the honest CMA would have produced.</w:t>
      </w:r>
    </w:p>
    <w:p>
      <w:pPr>
        <w:spacing w:before="160" w:after="100"/>
        <w:jc w:val="both"/>
      </w:pPr>
      <w:r>
        <w:rPr>
          <w:rFonts w:ascii="Garamond" w:cs="Garamond" w:eastAsia="Garamond" w:hAnsi="Garamond"/>
          <w:b w:val="false"/>
          <w:bCs w:val="false"/>
          <w:i w:val="false"/>
          <w:iCs w:val="false"/>
          <w:color w:val="1A1A1A"/>
          <w:sz w:val="24"/>
          <w:szCs w:val="24"/>
        </w:rPr>
        <w:t xml:space="preserve">The honest CMA requires one practice that most agents never develop: the courage to present the number the data supports rather than the number the seller wants to hear. This courage is available only when the surplus position (Estate I) is established — when the loss of the listing appointment is financially acceptable rather than financially devastating. The surplus makes the honest CMA possible. The honest CMA makes the professional reputation permanent.</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The honest CMA methodology: select comparables using only objective criteria — same bedroom and bathroom configuration, same general condition, same school district, sales within ninety days, within a half-mile radius in urban markets or one mile in suburban markets. Apply adjustments using verifiable market data — not your opinion of value but paired sales analysis: properties that are identical except for the one variable you are adjusting, which shows what the market pays for that variable. Present the comparable range, not a single number. "The market data supports a range of $472,000-$491,000. The specific factors that determine where in that range your property lands are [specific list]."</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The pre-listing walk-through: complete a full property assessment before preparing the CMA. The condition adjustments you make — for deferred maintenance, for outdated finishes, for specific deficiencies — should be based on what you actually see in the property, not on what the seller told you about the property.</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The honest number delivery: present the honest number with confidence, not apology. "Based on the comparable sales, the market will produce $472,000-$491,000 for this property in a standard thirty-day marketing period. I can defend this range to any appraiser and to any cooperating agent's buyer." The confidence of delivery changes the reception. The agent who presents the honest number apologetically invites negotiation. The agent who presents it confidently invites acceptance.</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Honest CMA versus inflated CMA. Same property. Six months.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Inflated CMA agent wins listing at $525,000 (supported: $489,000). DOM: 87 days.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-6</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-6.5</w:t>
      </w:r>
      <w:r>
        <w:rPr>
          <w:rFonts w:ascii="Garamond" w:cs="Garamond" w:eastAsia="Garamond" w:hAnsi="Garamond"/>
          <w:b w:val="false"/>
          <w:bCs w:val="false"/>
          <w:i/>
          <w:iCs/>
          <w:color w:val="555555"/>
          <w:sz w:val="18"/>
          <w:szCs w:val="18"/>
        </w:rPr>
        <w:t xml:space="preserve">  — Three price reductions. Final sale: $481,000. Net below the honest CMA target. Seller dissatisfied.</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Honest CMA agent loses listing appointment. Seller chooses inflated agent.</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Declines correctly. Time freed for correctly-priced listings. No DOM stigma. No management frustration.</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Seller returns after the overpriced agent fails to produce. "Can you still take it?"</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10.5</w:t>
      </w:r>
      <w:r>
        <w:rPr>
          <w:rFonts w:ascii="Garamond" w:cs="Garamond" w:eastAsia="Garamond" w:hAnsi="Garamond"/>
          <w:b w:val="false"/>
          <w:bCs w:val="false"/>
          <w:i/>
          <w:iCs/>
          <w:color w:val="555555"/>
          <w:sz w:val="18"/>
          <w:szCs w:val="18"/>
        </w:rPr>
        <w:t xml:space="preserve">  — "Yes, at the correct price." Relists at $489,000. Sells in 14 days. Seller: "I should have listened to you."</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In your last ten listing presentations: what was the average variance between your CMA recommendation and the price you ultimately accepted? If the variance was more than 5%, you are allowing inflated pricing more than the honest CMA practice permits.</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Honest CMA Practice</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Before the next listing appointment: run the CMA using only objective comparable selection. Present the range with confidence. Hold the price. If the seller insists on a price above the supported range, decline the listing or agree to a written price reduction schedule. Track the list-to-sale ratio on honest-CMA listings versus the market average. The data will confirm the practice within ten transactions.</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XXIX</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Long DOM Intelligence</w:t>
      </w:r>
    </w:p>
    <w:p>
      <w:pPr>
        <w:spacing w:before="60" w:after="300"/>
        <w:jc w:val="left"/>
      </w:pPr>
      <w:r>
        <w:rPr>
          <w:rFonts w:ascii="Garamond" w:cs="Garamond" w:eastAsia="Garamond" w:hAnsi="Garamond"/>
          <w:b w:val="false"/>
          <w:bCs w:val="false"/>
          <w:i/>
          <w:iCs/>
          <w:color w:val="555555"/>
          <w:sz w:val="26"/>
          <w:szCs w:val="26"/>
        </w:rPr>
        <w:t xml:space="preserve">The listing that has been on the market for sixty-plus days is not a failed listing. It is a conversation opportunity that every agent with a qualified buyer is avoiding because they incorrectly believe the extended DOM means something is wrong with the property. The agent who reads the long DOM listing correctly identifies motivated sellers, negotiable prices, and the specific opportunity that the market's misreading has created.</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long DOM listing is the market's gift to the prepared buyer. The preparation is understanding why the DOM is long — which is almost never the reason the market assumes it is.</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The extended days on market is one of the most consistently misread signals in residential real estate. The consumer sees a listing that has been on the market for seventy days and assumes either that the property has an undisclosed problem or that the price is above market — the two most common explanations for extended DOM in a functional market. Both assumptions are sometimes correct. Both are more often wrong, or are partially correct in ways that create opportunity rather than warning.</w:t>
      </w:r>
    </w:p>
    <w:p>
      <w:pPr>
        <w:spacing w:before="160" w:after="100"/>
        <w:jc w:val="both"/>
      </w:pPr>
      <w:r>
        <w:rPr>
          <w:rFonts w:ascii="Garamond" w:cs="Garamond" w:eastAsia="Garamond" w:hAnsi="Garamond"/>
          <w:b w:val="false"/>
          <w:bCs w:val="false"/>
          <w:i w:val="false"/>
          <w:iCs w:val="false"/>
          <w:color w:val="1A1A1A"/>
          <w:sz w:val="24"/>
          <w:szCs w:val="24"/>
        </w:rPr>
        <w:t xml:space="preserve">The most common cause of extended DOM in residential markets is overpricing — the price reduction-resistant seller whose expectation has been placed above market value by an agent who lacked the courage of the honest CMA. These sellers, after sixty to ninety days of market exposure, have accumulated enough evidence to reconsider the price — but need one more piece of evidence to act. The buyer's agent who presents a well-supported offer at or near market value is frequently providing that evidence. The offer is declined in many cases. In a significant number of cases, it is accepted at a significant discount from the original list price.</w:t>
      </w:r>
    </w:p>
    <w:p>
      <w:pPr>
        <w:spacing w:before="160" w:after="100"/>
        <w:jc w:val="both"/>
      </w:pPr>
      <w:r>
        <w:rPr>
          <w:rFonts w:ascii="Garamond" w:cs="Garamond" w:eastAsia="Garamond" w:hAnsi="Garamond"/>
          <w:b w:val="false"/>
          <w:bCs w:val="false"/>
          <w:i w:val="false"/>
          <w:iCs w:val="false"/>
          <w:color w:val="1A1A1A"/>
          <w:sz w:val="24"/>
          <w:szCs w:val="24"/>
        </w:rPr>
        <w:t xml:space="preserve">The extended DOM also occurs when the property has a specific and disclosed characteristic that limits the buyer pool. The odd floor plan. The commercial adjacency. The specific school assignment that eliminates a portion of the buyer pool. The lack of a garage in a market where buyers strongly prefer them. These are not undisclosed problems. They are disclosed characteristics that have limited the buyer pool to the specific buyer for whom the characteristic is not a disqualifier. The agent who has this specific buyer in their database has found the perfect match for the extended DOM property.</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Run a weekly long DOM analysis on your MLS. Set a filter for residential listings with 45+ days on market in your target areas and price ranges. For each: identify the probable cause of the extended DOM from the listing data and showing history. Categorize as: overpriced (list price above recent comparables), limited buyer pool (specific characteristic), marketing failure (inadequate photos, poor description, missing data), or other identified cause.</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For buyer clients: review the long DOM inventory weekly against your buyer database. The match between your buyer's specific flexibility — the buyer who doesn't need a garage, the buyer who likes the commercial adjacency because they own a business — and the long DOM property is the off-market opportunity that the MLS is showing you at a discount.</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The long DOM offer strategy: for overpriced long DOM properties, present a well-documented, market-supported offer rather than a lowball. The documentation — the specific comparable sales that support the offer price, the market analysis showing the relationship between price and DOM — converts the offer from a negotiating position into a market analysis. The seller who has been refusing opinions may accept evidence.</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Buyer agent identifying long DOM opportunity.</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Property: 78 DOM. Original list $519,000. Current list $499,000. Market value: $472,000-$482,000.</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7</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7</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8.5</w:t>
      </w:r>
      <w:r>
        <w:rPr>
          <w:rFonts w:ascii="Garamond" w:cs="Garamond" w:eastAsia="Garamond" w:hAnsi="Garamond"/>
          <w:b w:val="false"/>
          <w:bCs w:val="false"/>
          <w:i/>
          <w:iCs/>
          <w:color w:val="555555"/>
          <w:sz w:val="18"/>
          <w:szCs w:val="18"/>
        </w:rPr>
        <w:t xml:space="preserve">  — Buyer: doesn't need the third garage space — the specific feature that has been limiting the buyer pool.</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Offer presented at $474,000 with full comparable documentation. "This is the market. Here is the evidence."</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9.5</w:t>
      </w:r>
      <w:r>
        <w:rPr>
          <w:rFonts w:ascii="Garamond" w:cs="Garamond" w:eastAsia="Garamond" w:hAnsi="Garamond"/>
          <w:b w:val="false"/>
          <w:bCs w:val="false"/>
          <w:i/>
          <w:iCs/>
          <w:color w:val="555555"/>
          <w:sz w:val="18"/>
          <w:szCs w:val="18"/>
        </w:rPr>
        <w:t xml:space="preserve">  — Accepted at $479,000 after minimal negotiation. Seller had been waiting for the buyer who didn't care about the garage.</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How many long DOM properties in your target market right now would match a specific buyer in your database if you ran the analysis? When did you last run the long DOM inventory against your buyer criteria list?</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Long DOM Weekly Practice</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Set the MLS filter. Review weekly. Match against buyer database. Prepare the documented offer for every match. The practice takes 20 minutes per week and produces the negotiations that the competitive market does not offer.</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XXX</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Referral Architecture</w:t>
      </w:r>
    </w:p>
    <w:p>
      <w:pPr>
        <w:spacing w:before="60" w:after="300"/>
        <w:jc w:val="left"/>
      </w:pPr>
      <w:r>
        <w:rPr>
          <w:rFonts w:ascii="Garamond" w:cs="Garamond" w:eastAsia="Garamond" w:hAnsi="Garamond"/>
          <w:b w:val="false"/>
          <w:bCs w:val="false"/>
          <w:i/>
          <w:iCs/>
          <w:color w:val="555555"/>
          <w:sz w:val="26"/>
          <w:szCs w:val="26"/>
        </w:rPr>
        <w:t xml:space="preserve">Most agents ask for referrals. The agents who generate 65% referral rates do not ask for referrals. They build an architecture — a systematic set of relationship practices — that produces referrals without asking. The architecture takes three years to build. It runs indefinitely once built.</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referral is not a request granted. It is a consequence produced. The consequence of the quality of the professional relationship at the level of the three-transaction vision. The architecture is the system that produces the consequence consistently.</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The referral architecture is the aggregate of every relationship practice described in this doctrine, operating simultaneously and reinforcing each other. The signal surplus (Estate I) that makes every client interaction begin from trust. The transparency practice (Estate II) that builds the trust deep enough to produce advocacy. The emotional transaction management (Estate XXII) that converts the transaction from a financial event to a relationship milestone. The three-transaction vision (Estate XXV) that extends the relationship beyond the transaction. The annual client connection that maintains the relationship through the years between transactions.</w:t>
      </w:r>
    </w:p>
    <w:p>
      <w:pPr>
        <w:spacing w:before="160" w:after="100"/>
        <w:jc w:val="both"/>
      </w:pPr>
      <w:r>
        <w:rPr>
          <w:rFonts w:ascii="Garamond" w:cs="Garamond" w:eastAsia="Garamond" w:hAnsi="Garamond"/>
          <w:b w:val="false"/>
          <w:bCs w:val="false"/>
          <w:i w:val="false"/>
          <w:iCs w:val="false"/>
          <w:color w:val="1A1A1A"/>
          <w:sz w:val="24"/>
          <w:szCs w:val="24"/>
        </w:rPr>
        <w:t xml:space="preserve">The architecture produces a referral rate that grows geometrically rather than linearly because referrals refer. The client who refers their colleague is not just providing one referral. They are providing the potential chain of referrals from the colleague's network, and from the colleague's colleague's network. Each satisfied client is the entry point to a network. The depth to which the agent penetrates that network is determined by the quality of every relationship in it.</w:t>
      </w:r>
    </w:p>
    <w:p>
      <w:pPr>
        <w:spacing w:before="160" w:after="100"/>
        <w:jc w:val="both"/>
      </w:pPr>
      <w:r>
        <w:rPr>
          <w:rFonts w:ascii="Garamond" w:cs="Garamond" w:eastAsia="Garamond" w:hAnsi="Garamond"/>
          <w:b w:val="false"/>
          <w:bCs w:val="false"/>
          <w:i w:val="false"/>
          <w:iCs w:val="false"/>
          <w:color w:val="1A1A1A"/>
          <w:sz w:val="24"/>
          <w:szCs w:val="24"/>
        </w:rPr>
        <w:t xml:space="preserve">The specific mechanics of the referral architecture: a contact management system that maintains every past client with complete relationship notes and specific follow-up cadence, the annual value delivery that gives each client a reason to think of the agent twelve months after the transaction, the milestone acknowledgment that demonstrates the relationship extends beyond the transaction (the first-anniversary card, the school enrollment congratulations, the home-birthday note), and the specific referral facilitation that makes it easy for advocates to refer — the specific language they can use when speaking to a friend about the agent, the direct phone number and not the brokerage main line, the website and review profile that supports the referral narrative.</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Build the contact management system this week. Every past client, every active relationship, every referral source. Full notes on the relationship, the transaction, the outcome. Specific next-contact date for every entry. The system can be a CRM or a spreadsheet. The technology is secondary. The habit is primary: update every record within 24 hours of every interaction.</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The annual value delivery calendar: map every past client against a twelve-month calendar. Assign each to a specific month for their annual contact. The contact delivers specific value — a neighborhood market update, a relevant regulatory change that affects their property, a maintenance insight specific to their home type or age. The delivery is consistent, specific, and valuable. It is never a check-in for the sake of staying top-of-mind.</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The referral facilitation packet: prepare a simple, specific resource that makes it easy for advocates to refer. A short bio. A specific list of the kinds of clients you serve and the specific situations you navigate best. A direct contact method that bypasses the brokerage. A review link. Not a marketing brochure — a facilitation tool.</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Agent with referral architecture versus agent relying on organic referrals.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Architecture agent: CRM maintained, annual value delivery, milestone acknowledgment.</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10.5</w:t>
      </w:r>
      <w:r>
        <w:rPr>
          <w:rFonts w:ascii="Garamond" w:cs="Garamond" w:eastAsia="Garamond" w:hAnsi="Garamond"/>
          <w:b w:val="false"/>
          <w:bCs w:val="false"/>
          <w:i/>
          <w:iCs/>
          <w:color w:val="555555"/>
          <w:sz w:val="18"/>
          <w:szCs w:val="18"/>
        </w:rPr>
        <w:t xml:space="preserve">  — Year 3: 63% of new business from referrals. No cold prospecting required. Business compounds from the base.</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Organic referral agent: no system. Referrals arrive when clients happen to remember.</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4</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4</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5</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1.5</w:t>
      </w:r>
      <w:r>
        <w:rPr>
          <w:rFonts w:ascii="Garamond" w:cs="Garamond" w:eastAsia="Garamond" w:hAnsi="Garamond"/>
          <w:b w:val="false"/>
          <w:bCs w:val="false"/>
          <w:i/>
          <w:iCs/>
          <w:color w:val="555555"/>
          <w:sz w:val="18"/>
          <w:szCs w:val="18"/>
        </w:rPr>
        <w:t xml:space="preserve">  — Year 3: 24% referral rate. The difference: $140,000 in annual GCI.</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What percentage of your past clients from the last five years could you contact today with a specific, relevant value delivery — and how many of them would remember you clearly enough to receive it with warmth?</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Architecture Build</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Week 1: Build the CRM. Every past client. All notes. Week 2: Set the annual contact calendar. Week 3: Design the annual value delivery content. Week 4: Build the referral facilitation packet. Month 2: Run the first round of annual contacts. The architecture is built in one month and runs for the duration of the career.</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XXXI</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Market Report That Gets Read</w:t>
      </w:r>
    </w:p>
    <w:p>
      <w:pPr>
        <w:spacing w:before="60" w:after="300"/>
        <w:jc w:val="left"/>
      </w:pPr>
      <w:r>
        <w:rPr>
          <w:rFonts w:ascii="Garamond" w:cs="Garamond" w:eastAsia="Garamond" w:hAnsi="Garamond"/>
          <w:b w:val="false"/>
          <w:bCs w:val="false"/>
          <w:i/>
          <w:iCs/>
          <w:color w:val="555555"/>
          <w:sz w:val="26"/>
          <w:szCs w:val="26"/>
        </w:rPr>
        <w:t xml:space="preserve">There are two types of market reports in residential real estate: the ones that agents produce and the ones that clients read. The agents who produce market reports believe they are valuable. The clients who receive market reports delete them. The difference between a market report that is deleted and one that is read is entirely in the difference between data reporting and honest interpretation.</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Nobody reads data. Everybody reads analysis. The market report that tells the reader what the data means — specifically, for their specific situation, at this specific moment — is the only market report worth producing.</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The structure of the market report that gets read: one page maximum. Opening with the most significant thing that happened in the market this period and why it matters. One specific implication for a buyer in this market right now. One specific implication for a seller in this market right now. One forward-looking observation about what the current data suggests about the next ninety days. Zero charts. Zero tables. All sentences.</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The specific voice: write in the first person. Not "the market saw increased activity" but "I noticed something in last month's data that surprised me." The first-person voice signals that a human being read the data and formed a specific opinion about it. Humans respond to humans. They do not respond to data summaries.</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Send the report to a test audience of three past clients before publishing. Ask: "Did you find this useful? Was there something that confused you or something you wished it had covered?" The feedback refines the report into the document clients actually want rather than the document agents assume they want.</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Market report sent versus market report read.</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Data report: median price, DOM, sold volume, inventory. Open rate: 12%.</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1</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4</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-0.5</w:t>
      </w:r>
      <w:r>
        <w:rPr>
          <w:rFonts w:ascii="Garamond" w:cs="Garamond" w:eastAsia="Garamond" w:hAnsi="Garamond"/>
          <w:b w:val="false"/>
          <w:bCs w:val="false"/>
          <w:i/>
          <w:iCs/>
          <w:color w:val="555555"/>
          <w:sz w:val="18"/>
          <w:szCs w:val="18"/>
        </w:rPr>
        <w:t xml:space="preserve">  — Information available on Zillow. No differential value. No reason to open.</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Interpretation report: "Here's the one number that actually matters this month and what it means for you."</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9.5</w:t>
      </w:r>
      <w:r>
        <w:rPr>
          <w:rFonts w:ascii="Garamond" w:cs="Garamond" w:eastAsia="Garamond" w:hAnsi="Garamond"/>
          <w:b w:val="false"/>
          <w:bCs w:val="false"/>
          <w:i/>
          <w:iCs/>
          <w:color w:val="555555"/>
          <w:sz w:val="18"/>
          <w:szCs w:val="18"/>
        </w:rPr>
        <w:t xml:space="preserve">  — Open rate: 67%. Reply rate: 18%. The reply is the beginning of the conversation.</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Pull your last market report. Read it from the perspective of a client who is not yet in the market but who receives it. Would you read it? Would you reply? What would need to change for the answer to be yes?</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Report Rewrite</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Rewrite your next market report using the four-sentence structure. Send it. Track the open rate against your previous reports. The open rate will tell you whether the rewrite worked. The reply rate will tell you whether it produced conversations.</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XXXII</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Listing That Sells Before It Lists</w:t>
      </w:r>
    </w:p>
    <w:p>
      <w:pPr>
        <w:spacing w:before="60" w:after="300"/>
        <w:jc w:val="left"/>
      </w:pPr>
      <w:r>
        <w:rPr>
          <w:rFonts w:ascii="Garamond" w:cs="Garamond" w:eastAsia="Garamond" w:hAnsi="Garamond"/>
          <w:b w:val="false"/>
          <w:bCs w:val="false"/>
          <w:i/>
          <w:iCs/>
          <w:color w:val="555555"/>
          <w:sz w:val="26"/>
          <w:szCs w:val="26"/>
        </w:rPr>
        <w:t xml:space="preserve">The pre-market period — the ten to fourteen days between when the agent knows the property will list and when it appears on the MLS — is the highest-value period in the entire listing process. The agent who uses this period correctly sells the property before the public competition begins. Almost no agent uses this period correctly.</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MLS delivers competition. The pre-market period delivers the buyer who was already looking. One produces a bidding war. The other produces a relationship. Both can produce a sale. Only one produces a seller who feels they received the service they paid for.</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The pre-market buyer activation: identify every buyer in your network whose criteria matches the subject property. Contact them the day you take the listing — not the day it lists. "I am taking a listing in ten days that matches your criteria exactly. Would you like to see it before it goes public?" This contact is the highest-value use of the pre-market period. The buyer who is given first access has received a genuine advantage. The seller who receives an offer before the public listing has been protected from the disruption of the showing process.</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The agent network pre-alert: contact the five to ten agents in your market who most frequently represent buyers in the subject property's price range and area. "I have a listing coming in ten days that I know matches your buyer criteria. Can I send you the details?" The cooperating agent who receives this call has an opportunity for their buyer that they will remember when they have a listing that matches your buyer criteria.</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The pre-market social media preview: post a "coming soon" preview to your geographic farm's social platforms. One specific, compelling detail about the property. Not the address or the price — one compelling detail that generates curiosity. "Coming next week: the kitchen renovation in [neighborhood] that will change what you think is possible in this price range." The curiosity-generating preview builds a qualified audience for the launch.</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Pre-market strategy versus standard MLS launch.</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Standard launch: lists on MLS Day 1. Maximum competition from Day 1.</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5</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4</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5</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2.0</w:t>
      </w:r>
      <w:r>
        <w:rPr>
          <w:rFonts w:ascii="Garamond" w:cs="Garamond" w:eastAsia="Garamond" w:hAnsi="Garamond"/>
          <w:b w:val="false"/>
          <w:bCs w:val="false"/>
          <w:i/>
          <w:iCs/>
          <w:color w:val="555555"/>
          <w:sz w:val="18"/>
          <w:szCs w:val="18"/>
        </w:rPr>
        <w:t xml:space="preserve">  — Multiple offers in active market. Seller excited. Buyer who would have paid more on Day 7 never has the chance.</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Pre-market strategy: buyer activated from agent's network on Day -10. Offer accepted Day -3.</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10.5</w:t>
      </w:r>
      <w:r>
        <w:rPr>
          <w:rFonts w:ascii="Garamond" w:cs="Garamond" w:eastAsia="Garamond" w:hAnsi="Garamond"/>
          <w:b w:val="false"/>
          <w:bCs w:val="false"/>
          <w:i/>
          <w:iCs/>
          <w:color w:val="555555"/>
          <w:sz w:val="18"/>
          <w:szCs w:val="18"/>
        </w:rPr>
        <w:t xml:space="preserve">  — Transaction in contract before MLS listing. Seller avoids showing disruption. Buyer grateful for access. Agent demonstrates specific network value.</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For your next listing: who in your buyer network should get the call before the listing goes public? If the answer is nobody — your buyer network is not built. This Estate is a symptom. The diagnosis is earlier in the doctrine.</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Pre-Market Protocol</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For every upcoming listing: activate buyer network on Day -10. Alert the cooperating agents on Day -7. Post the preview on Day -5. List publicly only if no offer has been accepted. The protocol takes two hours and prevents the competitive disruption that erodes seller experience.</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XXXIII</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Dual Income Property</w:t>
      </w:r>
    </w:p>
    <w:p>
      <w:pPr>
        <w:spacing w:before="60" w:after="300"/>
        <w:jc w:val="left"/>
      </w:pPr>
      <w:r>
        <w:rPr>
          <w:rFonts w:ascii="Garamond" w:cs="Garamond" w:eastAsia="Garamond" w:hAnsi="Garamond"/>
          <w:b w:val="false"/>
          <w:bCs w:val="false"/>
          <w:i/>
          <w:iCs/>
          <w:color w:val="555555"/>
          <w:sz w:val="26"/>
          <w:szCs w:val="26"/>
        </w:rPr>
        <w:t xml:space="preserve">The agent's real estate license is the most powerful investment tool available to them. Every investor client pays the agent a commission to acquire the assets the agent could acquire themselves. At some point in the career, the question changes from "how do I earn from this market" to "how do I participate in this market." The dual income property is the first answer.</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agent who uses their license only to represent others is using half the instrument. The agent who uses their license to also acquire is building wealth on both sides of the transaction.</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The residential real estate agent is uniquely positioned to acquire investment real estate relative to any other professional in any field. They have complete, real-time knowledge of the market they operate in — they know before any investor which properties are about to become available, which neighborhoods are improving, and which properties are undervalued relative to their potential. They have the professional relationships that provide access to off-market opportunities, seller financing conversations, and favorable acquisition terms that the uninformed investor cannot reach. And they have the license that provides the commission rebate mechanism — in states where it is legal, the ability to earn a partial commission on their own acquisitions, which directly reduces the acquisition cost.</w:t>
      </w:r>
    </w:p>
    <w:p>
      <w:pPr>
        <w:spacing w:before="160" w:after="100"/>
        <w:jc w:val="both"/>
      </w:pPr>
      <w:r>
        <w:rPr>
          <w:rFonts w:ascii="Garamond" w:cs="Garamond" w:eastAsia="Garamond" w:hAnsi="Garamond"/>
          <w:b w:val="false"/>
          <w:bCs w:val="false"/>
          <w:i w:val="false"/>
          <w:iCs w:val="false"/>
          <w:color w:val="1A1A1A"/>
          <w:sz w:val="24"/>
          <w:szCs w:val="24"/>
        </w:rPr>
        <w:t xml:space="preserve">The dual income property concept begins with one property — not a portfolio, not a business plan, one property. The property that the agent can acquire using the knowledge their practice has generated, finance conservatively, manage competently using the relationships their landlord practice has built, and hold indefinitely for the combination of cash flow, appreciation, and mortgage paydown that residential real estate historically produces.</w:t>
      </w:r>
    </w:p>
    <w:p>
      <w:pPr>
        <w:spacing w:before="160" w:after="100"/>
        <w:jc w:val="both"/>
      </w:pPr>
      <w:r>
        <w:rPr>
          <w:rFonts w:ascii="Garamond" w:cs="Garamond" w:eastAsia="Garamond" w:hAnsi="Garamond"/>
          <w:b w:val="false"/>
          <w:bCs w:val="false"/>
          <w:i w:val="false"/>
          <w:iCs w:val="false"/>
          <w:color w:val="1A1A1A"/>
          <w:sz w:val="24"/>
          <w:szCs w:val="24"/>
        </w:rPr>
        <w:t xml:space="preserve">The compounding of the investment side of the career: one property held for ten years in a market with 4% average annual appreciation produces a specific and significant equity accumulation. Two properties produce more. The agent who acquires one investment property every two years for the first ten years of their career, using the market knowledge and professional access their practice generates, has built a financial foundation that the commission income alone, however significant, cannot replicate.</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The first acquisition criteria: a residential property in your target market, with positive cash flow at a conservative financing structure, in a neighborhood where your market knowledge gives you confidence about the five-year trajectory, acquired using the pre-listing relationships your practice has developed — specifically, a property from the tired landlord practice, the LLC dissolution practice, or the delinquent tax practice, where the seller's motivation produces favorable terms.</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The financing structure for the first acquisition: 25% down on a conventional investment property loan, with the debt service covered by the rental income at 75-80% occupancy. The conservative financing structure ensures the property is cash-flow positive even in suboptimal conditions. The agent who acquires investment property with aggressive financing is building a financial structure that is vulnerable to the same market cycles that make the commission income volatile. Conservative financing eliminates this vulnerability.</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The property management decision: manage the first property yourself using the relationships and knowledge the tired landlord practice has developed. The self-management period is educational — it produces specific, experiential knowledge about tenant management, maintenance systems, and landlord operations that cannot be learned from reading. The transition to professional management, when the portfolio reaches the scale where the agent's time is more valuable than the management cost, is made from a position of informed decision rather than default.</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Agent who acquires one investment property per two years versus agent who earns commission only.</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2: First property acquired. $340,000. 25% down. Monthly cash flow: $380 after all expenses.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6</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7</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8.0</w:t>
      </w:r>
      <w:r>
        <w:rPr>
          <w:rFonts w:ascii="Garamond" w:cs="Garamond" w:eastAsia="Garamond" w:hAnsi="Garamond"/>
          <w:b w:val="false"/>
          <w:bCs w:val="false"/>
          <w:i/>
          <w:iCs/>
          <w:color w:val="555555"/>
          <w:sz w:val="18"/>
          <w:szCs w:val="18"/>
        </w:rPr>
        <w:t xml:space="preserve">  — Investment thesis established. Market knowledge producing direct financial return.</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10: Five investment properties. Total equity from appreciation and paydown: $890,000.</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10.5</w:t>
      </w:r>
      <w:r>
        <w:rPr>
          <w:rFonts w:ascii="Garamond" w:cs="Garamond" w:eastAsia="Garamond" w:hAnsi="Garamond"/>
          <w:b w:val="false"/>
          <w:bCs w:val="false"/>
          <w:i/>
          <w:iCs/>
          <w:color w:val="555555"/>
          <w:sz w:val="18"/>
          <w:szCs w:val="18"/>
        </w:rPr>
        <w:t xml:space="preserve">  — $890,000 in investment wealth built from the market knowledge the commission practice generates. The license paid twice.</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What specific property would you acquire today if you decided to use your market knowledge for your own account? What is the specific obstacle between knowing the answer and acting on it?</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First Acquisition</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Identify one property this quarter from the tired landlord, LLC dissolution, or pre-listing practices that meets the conservative acquisition criteria. Run the financial analysis. If it works, make the offer. The portfolio begins with one property. It compounds from there.</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XXXIV</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Strategic Brokerage Decision</w:t>
      </w:r>
    </w:p>
    <w:p>
      <w:pPr>
        <w:spacing w:before="60" w:after="300"/>
        <w:jc w:val="left"/>
      </w:pPr>
      <w:r>
        <w:rPr>
          <w:rFonts w:ascii="Garamond" w:cs="Garamond" w:eastAsia="Garamond" w:hAnsi="Garamond"/>
          <w:b w:val="false"/>
          <w:bCs w:val="false"/>
          <w:i/>
          <w:iCs/>
          <w:color w:val="555555"/>
          <w:sz w:val="26"/>
          <w:szCs w:val="26"/>
        </w:rPr>
        <w:t xml:space="preserve">The brokerage is not a service provider. It is a business partner. The agent who evaluates the brokerage relationship on commission split alone is evaluating one dimension of a four-dimension decision. The correct evaluation produces a brokerage relationship that compounds the practice rather than limiting it.</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Every commission split is a visible cost. The invisible costs of the wrong brokerage — the training opportunity, the brand alignment, the transaction support, the professional community — are larger than the visible cost in most cases. Optimize for all four dimensions, not the one with the most obvious number.</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The four-dimension brokerage evaluation: (1) Financial: commission split, desk fees, transaction fees, franchise fees — the total annual cost of the brokerage relationship at your current production level. (2) Platform: the transaction management system, the CRM, the marketing tools, the MLS access quality. Rate the actual productivity impact of the platform on your practice. (3) Brand: the brand's alignment with your target client profile. Does the brokerage's brand attract or repel the clients you most want to serve? (4) Community: the quality of the professional relationships available within the brokerage community — other agents whose knowledge, market access, and collaborative potential add to your practice.</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Run the annual brokerage audit: score each of the four dimensions on a 1-10 scale. The optimal brokerage is not the one with the highest commission split. It is the one that produces the highest aggregate score across all four dimensions — because the platforms, the brand, and the community that compound the practice are worth more over ten years than the marginal commission improvement of a split change.</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The negotiation position: the agent who has run the correct audit and who understands their production value to the brokerage is negotiating from accurate information rather than from market rumors. Present the specific value you bring — your production, your referral relationships, your professional reputation — and evaluate the brokerage's offer against the four dimensions, not the one.</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Commission-optimized brokerage decision versus four-dimension decision.</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moves to 90% split boutique brokerage. Saves $14,000 in fees annually.</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5</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5</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1.5</w:t>
      </w:r>
      <w:r>
        <w:rPr>
          <w:rFonts w:ascii="Garamond" w:cs="Garamond" w:eastAsia="Garamond" w:hAnsi="Garamond"/>
          <w:b w:val="false"/>
          <w:bCs w:val="false"/>
          <w:i/>
          <w:iCs/>
          <w:color w:val="555555"/>
          <w:sz w:val="18"/>
          <w:szCs w:val="18"/>
        </w:rPr>
        <w:t xml:space="preserve">  — Platform inadequate. Brand misaligned with target clients. Professional community limited. Production declines.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stays at 75% split full-service brokerage with superior platform and referral community.</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7</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9.0</w:t>
      </w:r>
      <w:r>
        <w:rPr>
          <w:rFonts w:ascii="Garamond" w:cs="Garamond" w:eastAsia="Garamond" w:hAnsi="Garamond"/>
          <w:b w:val="false"/>
          <w:bCs w:val="false"/>
          <w:i/>
          <w:iCs/>
          <w:color w:val="555555"/>
          <w:sz w:val="18"/>
          <w:szCs w:val="18"/>
        </w:rPr>
        <w:t xml:space="preserve">  — Platform adds $22,000 in annual efficiency. Brand referrals add $31,000. Net: brokerage is worth the split difference.</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When did you last run a four-dimension audit of your current brokerage relationship? If the audit produces an unsatisfactory result, what is the specific calculation of the cost of staying versus the cost of moving?</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Brokerage Audit</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Run the four-dimension audit this quarter. Score each dimension. Benchmark against two alternatives. Make the decision from the full picture. Review annually.</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XXXV</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Price Psychology of the Listing</w:t>
      </w:r>
    </w:p>
    <w:p>
      <w:pPr>
        <w:spacing w:before="60" w:after="300"/>
        <w:jc w:val="left"/>
      </w:pPr>
      <w:r>
        <w:rPr>
          <w:rFonts w:ascii="Garamond" w:cs="Garamond" w:eastAsia="Garamond" w:hAnsi="Garamond"/>
          <w:b w:val="false"/>
          <w:bCs w:val="false"/>
          <w:i/>
          <w:iCs/>
          <w:color w:val="555555"/>
          <w:sz w:val="26"/>
          <w:szCs w:val="26"/>
        </w:rPr>
        <w:t xml:space="preserve">The price is not a number. It is a statement about what the seller believes, what the buyer expects, and what the market will accept. The agent who understands the psychology of pricing makes choices that the agent who thinks of price as arithmetic never makes — and the choices produce different markets.</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$499,000 price and the $500,000 price are not $1,000 apart. They are two different buyer pools apart. The agent who understands search filter thresholds does not price at $500,000 unless the goal is to serve the $500,000 market exclusively.</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The search threshold analysis: before recommending a list price, map the search filter thresholds in your market. Most buyer search tools use increments of $25,000 or $50,000 — $350,000, $375,000, $400,000. A property priced at $402,000 is invisible to every buyer whose maximum search filter is $400,000. The same property at $399,900 reaches that entire buyer pool. Determine the threshold that is immediately below your target price and evaluate whether the additional buyer pool justifies the marginal price adjustment.</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The psychological anchoring of the list price: the first number a buyer sees anchors their evaluation of the property's value. A property listed at $465,000 is experienced as a $465,000 property. A property listed at $449,900 is experienced as a $449,000 property. The anchor determines the negotiating range the buyer constructs around the price. Understand the anchor you are setting and set it deliberately.</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The seller objective pricing framework: different seller objectives require different pricing strategies. The seller who must maximize net proceeds at any timeline requires a price that attracts the deepest buyer pool in the current market. The seller who must close by a specific date requires a price that produces the offer in the required timeline. The seller who wants minimal disruption from showings requires a price that attracts only serious, qualified buyers. The correct price is derived from the correct objective, not from a single CMA value.</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$499,000 versus $505,000. Same property. Same market.</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$505,000: above the $500,000 threshold. Missing the buyer pool that searches up to $500,000.</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6</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18 showings. 1 offer. 45 days.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$499,000: crosses the $500,000 threshold. Reaches 40% more buyers.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9.5</w:t>
      </w:r>
      <w:r>
        <w:rPr>
          <w:rFonts w:ascii="Garamond" w:cs="Garamond" w:eastAsia="Garamond" w:hAnsi="Garamond"/>
          <w:b w:val="false"/>
          <w:bCs w:val="false"/>
          <w:i/>
          <w:iCs/>
          <w:color w:val="555555"/>
          <w:sz w:val="18"/>
          <w:szCs w:val="18"/>
        </w:rPr>
        <w:t xml:space="preserve">  — 31 showings. 4 offers. 11 days. Accepted at $507,000.</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Final net proceeds: $499,000 list produces $507,000 sale. $505,000 list produces $501,000 sale.</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Counterintuitive but consistent: the lower list price producing the higher sale price through buyer pool expansion.</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In your last five listings: did you identify the relevant search threshold and price relative to it? Or did you price relative to the CMA value without considering the threshold? What did the DOM and offer activity tell you about the decision?</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Threshold Analysis</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Before every list price recommendation: map the search thresholds in the relevant price range. Evaluate whether crossing a threshold justifies the marginal price adjustment. Present the threshold analysis to the seller as part of the pricing conversation. The data will change the decision in some cases. In those cases, the outcome will be better.</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XXXVI</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Technology Leverage</w:t>
      </w:r>
    </w:p>
    <w:p>
      <w:pPr>
        <w:spacing w:before="60" w:after="300"/>
        <w:jc w:val="left"/>
      </w:pPr>
      <w:r>
        <w:rPr>
          <w:rFonts w:ascii="Garamond" w:cs="Garamond" w:eastAsia="Garamond" w:hAnsi="Garamond"/>
          <w:b w:val="false"/>
          <w:bCs w:val="false"/>
          <w:i/>
          <w:iCs/>
          <w:color w:val="555555"/>
          <w:sz w:val="26"/>
          <w:szCs w:val="26"/>
        </w:rPr>
        <w:t xml:space="preserve">Technology does not replace professional judgment. It scales it. The agent who uses the right technology to scale their information advantage, their communication speed, and their transaction management quality is extending their professional capacity in every direction simultaneously. The agent who uses technology as a substitute for professional development is automating mediocrity.</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leverage of technology is proportional to the quality of the professional judgment it scales. Automate the excellent. Automate the mediocre and the mediocre compounds.</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The technology audit: identify every repeated task in your practice. Each is a candidate for automation or optimization. The follow-up email sequence. The showing feedback request. The transaction milestone communications. The birthday and anniversary contacts. The monthly market report distribution. Map every repeated task and identify the technology that handles it most efficiently. The time saved from automation is the time available for the high-judgment activities that automation cannot perform.</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The MLS intelligence tools: the specific MLS alerts, data integrations, and analytics platforms that provide market intelligence faster than manual monitoring. A new listing alert for your target geographic areas, price ranges, and property types. A price reduction alert for the long DOM practice. A pending sale alert for the appraisal package comparable monitoring. The agent who receives this intelligence in real time is responding to market conditions in real time.</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The client relationship technology: a CRM that maintains the relationship notes, the follow-up cadence, the annual contact calendar, and the referral source tracking that the referral architecture requires. The technology does not build the relationship. It maintains the system that allows the human to build the relationship without losing track of the relationship details that the human cannot hold in memory across hundreds of contacts.</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Technology-optimized agent versus technology-resistant agent. Same production level.</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Technology-optimized: automation handles 12 hours/week of repeat tasks.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7</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9.0</w:t>
      </w:r>
      <w:r>
        <w:rPr>
          <w:rFonts w:ascii="Garamond" w:cs="Garamond" w:eastAsia="Garamond" w:hAnsi="Garamond"/>
          <w:b w:val="false"/>
          <w:bCs w:val="false"/>
          <w:i/>
          <w:iCs/>
          <w:color w:val="555555"/>
          <w:sz w:val="18"/>
          <w:szCs w:val="18"/>
        </w:rPr>
        <w:t xml:space="preserve">  — 12 hours/week redirected to high-judgment activities: client conversations, network development, practice building.</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Technology-resistant: 12 hours/week on repeat tasks manually.</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4</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4</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5</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1.5</w:t>
      </w:r>
      <w:r>
        <w:rPr>
          <w:rFonts w:ascii="Garamond" w:cs="Garamond" w:eastAsia="Garamond" w:hAnsi="Garamond"/>
          <w:b w:val="false"/>
          <w:bCs w:val="false"/>
          <w:i/>
          <w:iCs/>
          <w:color w:val="555555"/>
          <w:sz w:val="18"/>
          <w:szCs w:val="18"/>
        </w:rPr>
        <w:t xml:space="preserve">  — Same tasks done. No leverage. No compound from the time investment.</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Year 3 compound of the 12 hours/week difference.</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12 hours/week x 50 weeks x 3 years = 1,800 hours invested in practice versus spent on tasks. The compound of 1,800 hours of practice investment is the career difference.</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Map every repeated task you performed last week. Total the hours. What would the practice look like if every hour of repeated tasks were invested in the practices described in this doctrine instead?</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Technology Audit</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This week: map every repeated task. Identify the top three by time consumption. Find the technology that handles each. Implement. Track the time recovered. Invest it in practice.</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XXXVII</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Closing Table Doctrine</w:t>
      </w:r>
    </w:p>
    <w:p>
      <w:pPr>
        <w:spacing w:before="60" w:after="300"/>
        <w:jc w:val="left"/>
      </w:pPr>
      <w:r>
        <w:rPr>
          <w:rFonts w:ascii="Garamond" w:cs="Garamond" w:eastAsia="Garamond" w:hAnsi="Garamond"/>
          <w:b w:val="false"/>
          <w:bCs w:val="false"/>
          <w:i/>
          <w:iCs/>
          <w:color w:val="555555"/>
          <w:sz w:val="26"/>
          <w:szCs w:val="26"/>
        </w:rPr>
        <w:t xml:space="preserve">The closing is not the end of the transaction. It is the beginning of the next one. The agent who treats the closing as the conclusion of their professional obligation is leaving the relationship at the exact moment when the client's gratitude is at its peak. The five minutes after the signatures are the most valuable five minutes in the entire relationship.</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closing table is where the referral is either earned or deferred. The agent who is present — genuinely, emotionally, professionally present — in the five minutes after the final signature is the agent the client remembers at the moment the referral is ready.</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The closing conversation: in the five minutes after the final signature, before anyone leaves the table, ask one question with full attention: "Now that it's done — how do you feel?" This question is not a survey. It is an invitation to the emotional close of the transaction. The answer tells you the emotional condition of the client at the moment of maximum receptivity and maximum gratitude. The agent who receives this answer and who honors it — who stays present with whatever it contains — is present at the most important professional moment available.</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The closing acknowledgment: before the closing is complete, acknowledge specifically one thing about the client that made the transaction work. "The flexibility you showed when the inspection came back — that's the reason this transaction closed instead of falling apart." The specific acknowledgment does three things: it demonstrates that you were paying attention throughout the transaction, it gives the client a specific narrative to share when they describe the experience to others, and it closes the emotional chapter of the transaction on a note of genuine appreciation.</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The next step offer: in the final moments of the closing, make one specific offer that extends the relationship beyond the transaction. "I will send you the neighborhood market update every month so you always know what your new investment is doing. And if anything comes up about the property or the neighborhood in the first year, you have my direct number." The specific offer of continued value is the foundation of the three-transaction relationship.</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Agent present at the closing versus agent who hands off to the transaction coordinator at signing.</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Transaction coordinator handles closing. Agent not present.</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6</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-0.5</w:t>
      </w:r>
      <w:r>
        <w:rPr>
          <w:rFonts w:ascii="Garamond" w:cs="Garamond" w:eastAsia="Garamond" w:hAnsi="Garamond"/>
          <w:b w:val="false"/>
          <w:bCs w:val="false"/>
          <w:i/>
          <w:iCs/>
          <w:color w:val="555555"/>
          <w:sz w:val="18"/>
          <w:szCs w:val="18"/>
        </w:rPr>
        <w:t xml:space="preserve">  — Transaction completes. No emotional close. No relationship deepened. Client moves on.</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Agent present. Closing conversation. Specific acknowledgment. Next step offer.</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10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11.0</w:t>
      </w:r>
      <w:r>
        <w:rPr>
          <w:rFonts w:ascii="Garamond" w:cs="Garamond" w:eastAsia="Garamond" w:hAnsi="Garamond"/>
          <w:b w:val="false"/>
          <w:bCs w:val="false"/>
          <w:i/>
          <w:iCs/>
          <w:color w:val="555555"/>
          <w:sz w:val="18"/>
          <w:szCs w:val="18"/>
        </w:rPr>
        <w:t xml:space="preserve">  — Client refers two colleagues within 60 days. The five minutes at the closing table produced $18,400 in referral commissions.</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In your last five closings: were you present at the table? Did you have the closing conversation? What was the referral outcome from the clients where you were present versus the clients where you were not?</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Closing Table Practice</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Attend every closing. Execute the three-step closing doctrine: closing conversation, specific acknowledgment, next step offer. Track referral rates from closings where the doctrine was executed versus closings where it was not. The data will make the practice permanent.</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XXXVIII</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Five-Year Client</w:t>
      </w:r>
    </w:p>
    <w:p>
      <w:pPr>
        <w:spacing w:before="60" w:after="300"/>
        <w:jc w:val="left"/>
      </w:pPr>
      <w:r>
        <w:rPr>
          <w:rFonts w:ascii="Garamond" w:cs="Garamond" w:eastAsia="Garamond" w:hAnsi="Garamond"/>
          <w:b w:val="false"/>
          <w:bCs w:val="false"/>
          <w:i/>
          <w:iCs/>
          <w:color w:val="555555"/>
          <w:sz w:val="26"/>
          <w:szCs w:val="26"/>
        </w:rPr>
        <w:t xml:space="preserve">The client who purchased with you five years ago is not a past client. They are a future client, a current referral source, and the center of a professional network that will produce business for the duration of your career — if you have maintained the relationship. Almost no agent has. The position is yours.</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client who bought five years ago is a seller today if you maintained the relationship and a stranger today if you did not. The difference between the two outcomes is twelve contacts per year and genuine interest in their life. The cost is sixty minutes per client per year. The return is measured in decades.</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The decay rate of the agent-client relationship: without active maintenance, the referral probability of a past client decays at approximately 15% per year. The client who referred you at 80% probability in year one has a 35% referral probability by year four without maintenance contact. The ten annual contacts necessary to maintain the referral probability require approximately sixty minutes per client per year. The sixty-minute investment returns the full referral probability indefinitely.</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The ten-contact maintenance protocol: (1) New Year note with a market observation. (2) Home anniversary card. (3) February local market update. (4) April — spring market observation for their specific property type. (5) Birthday contact for each family member in the record. (6) Summer check-in. (7) Fall market update. (8) Neighborhood development note — something specific happening in their area. (9) Holiday card. (10) Year-end market summary. Ten contacts. Sixty minutes. Full referral probability maintained.</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The five-year client visit: for clients who have been in their property for three to five years and have not been contacted with a formal CMA since purchase, offer a complimentary "home investment review" — a full market analysis showing what their property has appreciated to, what recent comparable activity shows, and what the current market means for a potential move decision. This contact is not a pitch. It is a financial service. The client who receives it is the client who knows their current position. The client who knows their current position makes better decisions. Better decisions often include the sale.</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Agent with ten-contact maintenance protocol versus agent with no maintenance. Same cohort of 40 past clients. Five years.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Maintenance agent: ten contacts per year. 40 clients. 400 contacts per year. 60 hours annually.</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10.0</w:t>
      </w:r>
      <w:r>
        <w:rPr>
          <w:rFonts w:ascii="Garamond" w:cs="Garamond" w:eastAsia="Garamond" w:hAnsi="Garamond"/>
          <w:b w:val="false"/>
          <w:bCs w:val="false"/>
          <w:i/>
          <w:iCs/>
          <w:color w:val="555555"/>
          <w:sz w:val="18"/>
          <w:szCs w:val="18"/>
        </w:rPr>
        <w:t xml:space="preserve">  — Year 5 referral rate from maintained cohort: 71%. 28 referrals from 40 clients over 5 years.</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No maintenance: zero contacts after transaction completion.</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7</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-1.5</w:t>
      </w:r>
      <w:r>
        <w:rPr>
          <w:rFonts w:ascii="Garamond" w:cs="Garamond" w:eastAsia="Garamond" w:hAnsi="Garamond"/>
          <w:b w:val="false"/>
          <w:bCs w:val="false"/>
          <w:i/>
          <w:iCs/>
          <w:color w:val="555555"/>
          <w:sz w:val="18"/>
          <w:szCs w:val="18"/>
        </w:rPr>
        <w:t xml:space="preserve">  — Year 5 referral rate from unmaintained cohort: 11%. 4 referrals from 40 clients over 5 years.</w:t>
      </w:r>
    </w:p>
    <w:p>
      <w:pPr>
        <w:spacing w:before="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Revenue difference: 24 additional referrals over 5 years.</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0</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0.0</w:t>
      </w:r>
      <w:r>
        <w:rPr>
          <w:rFonts w:ascii="Garamond" w:cs="Garamond" w:eastAsia="Garamond" w:hAnsi="Garamond"/>
          <w:b w:val="false"/>
          <w:bCs w:val="false"/>
          <w:i/>
          <w:iCs/>
          <w:color w:val="555555"/>
          <w:sz w:val="18"/>
          <w:szCs w:val="18"/>
        </w:rPr>
        <w:t xml:space="preserve">  — At average commission of $9,200: $220,800 additional GCI from 300 additional hours of relationship maintenance. $736/hour.</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How many past clients do you have for whom you have had zero professional contact in the last twelve months? Multiply that number by the average commission in your market. That is the annual revenue value of the contact you did not make.</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Maintenance Protocol Build</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Build the ten-contact calendar for every past client this week. Start the first contacts this month. The protocol builds in the first month. It runs for the career. The 60 hours per year per 40 clients is $736 per hour in referred commissions. It is the highest-return hour in the business.</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XXXIX</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Correct Commission Conversation</w:t>
      </w:r>
    </w:p>
    <w:p>
      <w:pPr>
        <w:spacing w:before="60" w:after="300"/>
        <w:jc w:val="left"/>
      </w:pPr>
      <w:r>
        <w:rPr>
          <w:rFonts w:ascii="Garamond" w:cs="Garamond" w:eastAsia="Garamond" w:hAnsi="Garamond"/>
          <w:b w:val="false"/>
          <w:bCs w:val="false"/>
          <w:i/>
          <w:iCs/>
          <w:color w:val="555555"/>
          <w:sz w:val="26"/>
          <w:szCs w:val="26"/>
        </w:rPr>
        <w:t xml:space="preserve">The commission conversation is lost before it begins by agents who treat it as a negotiation rather than as a value communication. The negotiation context produces a price argument. The value context produces a professional relationship. One is won by giving something away. The other is won by demonstrating something worth keeping.</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commission is the outcome of the value conversation, not the subject of it. The agent who leads with the commission loses the commission. The agent who leads with the value leads the conversation and keeps the commission.</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The commission conversation occurs in two distinct contexts that require entirely different approaches. The first is the initial conversation — before the client has made a decision to engage the agent, when the commission is presented as part of the total professional offer. The second is the negotiation conversation — after the client has decided to engage the agent but is pushing back on the rate. Both contexts are resolved by the same principle: value before number.</w:t>
      </w:r>
    </w:p>
    <w:p>
      <w:pPr>
        <w:spacing w:before="160" w:after="100"/>
        <w:jc w:val="both"/>
      </w:pPr>
      <w:r>
        <w:rPr>
          <w:rFonts w:ascii="Garamond" w:cs="Garamond" w:eastAsia="Garamond" w:hAnsi="Garamond"/>
          <w:b w:val="false"/>
          <w:bCs w:val="false"/>
          <w:i w:val="false"/>
          <w:iCs w:val="false"/>
          <w:color w:val="1A1A1A"/>
          <w:sz w:val="24"/>
          <w:szCs w:val="24"/>
        </w:rPr>
        <w:t xml:space="preserve">The agent who presents the commission before presenting the value is asking the client to evaluate a cost without the benefit context. The evaluation is purely numerical — is this rate higher or lower than the alternative? The agent who presents the value before the number is asking the client to evaluate a cost in the context of the specific benefits that justify it. The evaluation is comparative — is the value I will receive worth the rate being asked? These are different questions and they produce different answers.</w:t>
      </w:r>
    </w:p>
    <w:p>
      <w:pPr>
        <w:spacing w:before="160" w:after="100"/>
        <w:jc w:val="both"/>
      </w:pPr>
      <w:r>
        <w:rPr>
          <w:rFonts w:ascii="Garamond" w:cs="Garamond" w:eastAsia="Garamond" w:hAnsi="Garamond"/>
          <w:b w:val="false"/>
          <w:bCs w:val="false"/>
          <w:i w:val="false"/>
          <w:iCs w:val="false"/>
          <w:color w:val="1A1A1A"/>
          <w:sz w:val="24"/>
          <w:szCs w:val="24"/>
        </w:rPr>
        <w:t xml:space="preserve">The agent whose value is specific and documented — who can point to the net sheet that preserved the seller's proceeds, the appraisal package that protected against a $25,000 appraisal gap, the inspection negotiation that produced a $21,750 credit, the pre-listing relationship that eliminated the showing disruption — is not asking the client to accept their rate. They are asking the client to evaluate the rate against the specific documented outcomes the agent has produced for similar clients. The evaluation, done honestly, almost always produces the conclusion that the rate is justified.</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100"/>
      </w:pPr>
      <w:r>
        <w:rPr>
          <w:rFonts w:ascii="Garamond" w:cs="Garamond" w:eastAsia="Garamond" w:hAnsi="Garamond"/>
          <w:b/>
          <w:bCs/>
          <w:i w:val="false"/>
          <w:iCs w:val="false"/>
          <w:color w:val="C4A95A"/>
          <w:sz w:val="24"/>
          <w:szCs w:val="24"/>
        </w:rPr>
        <w:t xml:space="preserve">THE CHEAT CODE</w:t>
      </w:r>
    </w:p>
    <w:p>
      <w:pPr>
        <w:spacing w:before="90" w:after="70"/>
        <w:ind w:left="220"/>
      </w:pPr>
      <w:r>
        <w:rPr>
          <w:rFonts w:ascii="Garamond" w:cs="Garamond" w:eastAsia="Garamond" w:hAnsi="Garamond"/>
          <w:b/>
          <w:bCs/>
          <w:i w:val="false"/>
          <w:iCs w:val="false"/>
          <w:color w:val="C4A95A"/>
          <w:sz w:val="22"/>
          <w:szCs w:val="22"/>
        </w:rPr>
        <w:t xml:space="preserve">1.  </w:t>
      </w:r>
      <w:r>
        <w:rPr>
          <w:rFonts w:ascii="Garamond" w:cs="Garamond" w:eastAsia="Garamond" w:hAnsi="Garamond"/>
          <w:b w:val="false"/>
          <w:bCs w:val="false"/>
          <w:i w:val="false"/>
          <w:iCs w:val="false"/>
          <w:color w:val="1A1A1A"/>
          <w:sz w:val="22"/>
          <w:szCs w:val="22"/>
        </w:rPr>
        <w:t xml:space="preserve">The value documentation file: maintain a specific document that records the specific financial outcomes your professional practices have produced for clients over the last twelve months. The appraisal gap amounts preserved. The inspection credits negotiated. The list-to-sale ratio versus market average. The days on market versus market average. The net proceeds produced versus the realistic market benchmark. This file is the evidence base for the commission conversation. It converts the abstract claim of professional value into specific, documented outcomes.</w:t>
      </w:r>
    </w:p>
    <w:p>
      <w:pPr>
        <w:spacing w:before="90" w:after="70"/>
        <w:ind w:left="220"/>
      </w:pPr>
      <w:r>
        <w:rPr>
          <w:rFonts w:ascii="Garamond" w:cs="Garamond" w:eastAsia="Garamond" w:hAnsi="Garamond"/>
          <w:b/>
          <w:bCs/>
          <w:i w:val="false"/>
          <w:iCs w:val="false"/>
          <w:color w:val="C4A95A"/>
          <w:sz w:val="22"/>
          <w:szCs w:val="22"/>
        </w:rPr>
        <w:t xml:space="preserve">2.  </w:t>
      </w:r>
      <w:r>
        <w:rPr>
          <w:rFonts w:ascii="Garamond" w:cs="Garamond" w:eastAsia="Garamond" w:hAnsi="Garamond"/>
          <w:b w:val="false"/>
          <w:bCs w:val="false"/>
          <w:i w:val="false"/>
          <w:iCs w:val="false"/>
          <w:color w:val="1A1A1A"/>
          <w:sz w:val="22"/>
          <w:szCs w:val="22"/>
        </w:rPr>
        <w:t xml:space="preserve">The commission conversation opening: "Before we talk about rates, I want to walk you through specifically what I do differently and what that difference has produced for clients in situations similar to yours. Then the rate conversation will have context." This opening converts the negotiation context into an evaluation context. The client who evaluates rather than negotiates is more likely to reach the correct conclusion.</w:t>
      </w:r>
    </w:p>
    <w:p>
      <w:pPr>
        <w:spacing w:before="90" w:after="70"/>
        <w:ind w:left="220"/>
      </w:pPr>
      <w:r>
        <w:rPr>
          <w:rFonts w:ascii="Garamond" w:cs="Garamond" w:eastAsia="Garamond" w:hAnsi="Garamond"/>
          <w:b/>
          <w:bCs/>
          <w:i w:val="false"/>
          <w:iCs w:val="false"/>
          <w:color w:val="C4A95A"/>
          <w:sz w:val="22"/>
          <w:szCs w:val="22"/>
        </w:rPr>
        <w:t xml:space="preserve">3.  </w:t>
      </w:r>
      <w:r>
        <w:rPr>
          <w:rFonts w:ascii="Garamond" w:cs="Garamond" w:eastAsia="Garamond" w:hAnsi="Garamond"/>
          <w:b w:val="false"/>
          <w:bCs w:val="false"/>
          <w:i w:val="false"/>
          <w:iCs w:val="false"/>
          <w:color w:val="1A1A1A"/>
          <w:sz w:val="22"/>
          <w:szCs w:val="22"/>
        </w:rPr>
        <w:t xml:space="preserve">The rate defense — the specific language for the moment when the client asks for a lower rate: "I understand the instinct to focus on the commission because it is the visible cost. What I want to show you is the relationship between the rate and the net proceeds — specifically, the ways that the practices I just described produce outcomes that more than offset the commission difference." Then produce the specific evidence from your documentation file. The evidence, not the argument, defends the rate.</w:t>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1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4"/>
          <w:szCs w:val="24"/>
        </w:rPr>
        <w:t xml:space="preserve">THE PROOF</w:t>
      </w:r>
    </w:p>
    <w:p>
      <w:pPr>
        <w:spacing w:before="0" w:after="120"/>
        <w:jc w:val="left"/>
      </w:pPr>
      <w:r>
        <w:rPr>
          <w:rFonts w:ascii="Garamond" w:cs="Garamond" w:eastAsia="Garamond" w:hAnsi="Garamond"/>
          <w:b w:val="false"/>
          <w:bCs w:val="false"/>
          <w:i/>
          <w:iCs/>
          <w:color w:val="555555"/>
          <w:sz w:val="20"/>
          <w:szCs w:val="20"/>
        </w:rPr>
        <w:t xml:space="preserve">Commission negotiated versus commission defended with value. Same rate. Different outcome.</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Commission negotiated: agent reduces from 3% to 2.5%. "Fine, I can do that."</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2</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-5</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7</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-5.0</w:t>
      </w:r>
      <w:r>
        <w:rPr>
          <w:rFonts w:ascii="Garamond" w:cs="Garamond" w:eastAsia="Garamond" w:hAnsi="Garamond"/>
          <w:b w:val="false"/>
          <w:bCs w:val="false"/>
          <w:i/>
          <w:iCs/>
          <w:color w:val="555555"/>
          <w:sz w:val="18"/>
          <w:szCs w:val="18"/>
        </w:rPr>
        <w:t xml:space="preserve">  — Client values the agent at 2.5%. Commission reduced $2,500. Agent perceived as flexible downward. Future negotiations will start at 2.5%.</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Commission defended: agent presents value documentation. Rate held.</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8</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9.5</w:t>
      </w:r>
      <w:r>
        <w:rPr>
          <w:rFonts w:ascii="Garamond" w:cs="Garamond" w:eastAsia="Garamond" w:hAnsi="Garamond"/>
          <w:b w:val="false"/>
          <w:bCs w:val="false"/>
          <w:i/>
          <w:iCs/>
          <w:color w:val="555555"/>
          <w:sz w:val="18"/>
          <w:szCs w:val="18"/>
        </w:rPr>
        <w:t xml:space="preserve">  — "Based on the outcomes I showed you, the 3% rate produces a net to you that is $8,000-$12,000 higher than the alternative. I cannot replicate those outcomes at 2.5%."</w:t>
      </w:r>
    </w:p>
    <w:p>
      <w:pPr>
        <w:pBdr>
          <w:left w:val="single" w:color="C4A95A" w:sz="10" w:space="10"/>
        </w:pBdr>
        <w:spacing w:before="70" w:after="70"/>
        <w:ind w:left="220"/>
      </w:pPr>
      <w:r>
        <w:rPr>
          <w:rFonts w:ascii="Garamond" w:cs="Garamond" w:eastAsia="Garamond" w:hAnsi="Garamond"/>
          <w:b/>
          <w:bCs/>
          <w:i w:val="false"/>
          <w:iCs w:val="false"/>
          <w:color w:val="0A0A0A"/>
          <w:sz w:val="20"/>
          <w:szCs w:val="20"/>
        </w:rPr>
        <w:t xml:space="preserve">Client: "That makes sense. I'll take the 3%."</w:t>
      </w:r>
      <w:r>
        <w:rPr>
          <w:rFonts w:ascii="Garamond" w:cs="Garamond" w:eastAsia="Garamond" w:hAnsi="Garamond"/>
          <w:b w:val="false"/>
          <w:bCs w:val="false"/>
          <w:i w:val="false"/>
          <w:iCs w:val="false"/>
          <w:color w:val="0A0A0A"/>
          <w:sz w:val="20"/>
          <w:szCs w:val="20"/>
        </w:rPr>
        <w:t xml:space="preserve">   </w:t>
      </w:r>
      <w:r>
        <w:rPr>
          <w:rFonts w:ascii="Garamond" w:cs="Garamond" w:eastAsia="Garamond" w:hAnsi="Garamond"/>
          <w:b/>
          <w:bCs/>
          <w:i w:val="false"/>
          <w:iCs w:val="false"/>
          <w:color w:val="A8C4D4"/>
          <w:sz w:val="20"/>
          <w:szCs w:val="20"/>
        </w:rPr>
        <w:t xml:space="preserve">P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A8A8"/>
          <w:sz w:val="20"/>
          <w:szCs w:val="20"/>
        </w:rPr>
        <w:t xml:space="preserve">L </w:t>
      </w:r>
      <w:r>
        <w:rPr>
          <w:rFonts w:ascii="Garamond" w:cs="Garamond" w:eastAsia="Garamond" w:hAnsi="Garamond"/>
          <w:b/>
          <w:bCs/>
          <w:i w:val="false"/>
          <w:iCs w:val="false"/>
          <w:color w:val="C4A95A"/>
          <w:sz w:val="20"/>
          <w:szCs w:val="20"/>
        </w:rPr>
        <w:t xml:space="preserve">9</w:t>
      </w:r>
      <w:r>
        <w:rPr>
          <w:rFonts w:ascii="Garamond" w:cs="Garamond" w:eastAsia="Garamond" w:hAnsi="Garamond"/>
          <w:b w:val="false"/>
          <w:bCs w:val="false"/>
          <w:i w:val="false"/>
          <w:iCs w:val="false"/>
          <w:color w:val="0A0A0A"/>
          <w:sz w:val="16"/>
          <w:szCs w:val="16"/>
        </w:rPr>
        <w:t xml:space="preserve"> </w:t>
      </w:r>
      <w:r>
        <w:rPr>
          <w:rFonts w:ascii="Garamond" w:cs="Garamond" w:eastAsia="Garamond" w:hAnsi="Garamond"/>
          <w:b/>
          <w:bCs/>
          <w:i w:val="false"/>
          <w:iCs w:val="false"/>
          <w:color w:val="D4C4A8"/>
          <w:sz w:val="20"/>
          <w:szCs w:val="20"/>
        </w:rPr>
        <w:t xml:space="preserve">T </w:t>
      </w:r>
      <w:r>
        <w:rPr>
          <w:rFonts w:ascii="Garamond" w:cs="Garamond" w:eastAsia="Garamond" w:hAnsi="Garamond"/>
          <w:b/>
          <w:bCs/>
          <w:i w:val="false"/>
          <w:iCs w:val="false"/>
          <w:color w:val="C4A95A"/>
          <w:sz w:val="20"/>
          <w:szCs w:val="20"/>
        </w:rPr>
        <w:t xml:space="preserve">-3</w:t>
      </w:r>
      <w:r>
        <w:rPr>
          <w:rFonts w:ascii="Garamond" w:cs="Garamond" w:eastAsia="Garamond" w:hAnsi="Garamond"/>
          <w:b w:val="false"/>
          <w:bCs w:val="false"/>
          <w:i w:val="false"/>
          <w:iCs w:val="false"/>
          <w:color w:val="888888"/>
          <w:sz w:val="18"/>
          <w:szCs w:val="18"/>
        </w:rPr>
        <w:t xml:space="preserve">   NET </w:t>
      </w:r>
      <w:r>
        <w:rPr>
          <w:rFonts w:ascii="Garamond" w:cs="Garamond" w:eastAsia="Garamond" w:hAnsi="Garamond"/>
          <w:b/>
          <w:bCs/>
          <w:i w:val="false"/>
          <w:iCs w:val="false"/>
          <w:color w:val="C4A95A"/>
          <w:sz w:val="22"/>
          <w:szCs w:val="22"/>
        </w:rPr>
        <w:t xml:space="preserve">10.5</w:t>
      </w:r>
      <w:r>
        <w:rPr>
          <w:rFonts w:ascii="Garamond" w:cs="Garamond" w:eastAsia="Garamond" w:hAnsi="Garamond"/>
          <w:b w:val="false"/>
          <w:bCs w:val="false"/>
          <w:i/>
          <w:iCs/>
          <w:color w:val="555555"/>
          <w:sz w:val="18"/>
          <w:szCs w:val="18"/>
        </w:rPr>
        <w:t xml:space="preserve">  — Commission held. Seller trusts agent more for the defense. The confidence of the defense signals the same abundance as Estate I.</w:t>
      </w:r>
    </w:p>
    <w:p>
      <w:pPr>
        <w:spacing w:before="18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In your last five commission conversations where the client pushed back: did you negotiate or did you defend with value? What was the outcome of each approach? And what is the cumulative commission reduction from every negotiated discount over the last three years?</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Commission Conversation</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Build the value documentation file this week. Every significant outcome from the last twelve months. Practice the conversation opening. Practice the rate defense. Use the value documentation file at the next pushback conversation. Track the outcome against previous pushback conversations where the documentation was not available.</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C4A95A"/>
          <w:sz w:val="52"/>
          <w:szCs w:val="52"/>
        </w:rPr>
        <w:t xml:space="preserve">ESTATE XL</w:t>
      </w:r>
    </w:p>
    <w:p>
      <w:pPr>
        <w:pBdr>
          <w:bottom w:val="single" w:color="C4A95A" w:sz="12" w:space="10"/>
        </w:pBdr>
        <w:spacing w:before="20" w:after="120"/>
      </w:pPr>
      <w:r>
        <w:rPr>
          <w:rFonts w:ascii="Garamond" w:cs="Garamond" w:eastAsia="Garamond" w:hAnsi="Garamond"/>
          <w:b/>
          <w:bCs/>
          <w:i w:val="false"/>
          <w:iCs w:val="false"/>
          <w:color w:val="0A0A0A"/>
          <w:sz w:val="56"/>
          <w:szCs w:val="56"/>
        </w:rPr>
        <w:t xml:space="preserve">The Estate of Memory</w:t>
      </w:r>
    </w:p>
    <w:p>
      <w:pPr>
        <w:spacing w:before="60" w:after="300"/>
        <w:jc w:val="left"/>
      </w:pPr>
      <w:r>
        <w:rPr>
          <w:rFonts w:ascii="Garamond" w:cs="Garamond" w:eastAsia="Garamond" w:hAnsi="Garamond"/>
          <w:b w:val="false"/>
          <w:bCs w:val="false"/>
          <w:i/>
          <w:iCs/>
          <w:color w:val="555555"/>
          <w:sz w:val="26"/>
          <w:szCs w:val="26"/>
        </w:rPr>
        <w:t xml:space="preserve">The career that matters is not measured by what you produced. It is measured by what the people who worked with you remember. What they tell their friends. What they say when your name comes up. That memory is the only legacy available. It is also the most reliable business model ever developed.</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70"/>
      </w:pPr>
      <w:r>
        <w:rPr>
          <w:rFonts w:ascii="Garamond" w:cs="Garamond" w:eastAsia="Garamond" w:hAnsi="Garamond"/>
          <w:b/>
          <w:bCs/>
          <w:i w:val="false"/>
          <w:iCs w:val="false"/>
          <w:color w:val="C4A95A"/>
          <w:sz w:val="20"/>
          <w:szCs w:val="20"/>
        </w:rPr>
        <w:t xml:space="preserve">THE LAW</w:t>
      </w:r>
    </w:p>
    <w:p>
      <w:pPr>
        <w:pBdr>
          <w:left w:val="single" w:color="C4A95A" w:sz="24" w:space="24"/>
        </w:pBdr>
        <w:spacing w:before="0" w:after="0"/>
        <w:ind w:left="240"/>
      </w:pPr>
      <w:r>
        <w:rPr>
          <w:rFonts w:ascii="Garamond" w:cs="Garamond" w:eastAsia="Garamond" w:hAnsi="Garamond"/>
          <w:b w:val="false"/>
          <w:bCs w:val="false"/>
          <w:i/>
          <w:iCs/>
          <w:color w:val="0A0A0A"/>
          <w:sz w:val="32"/>
          <w:szCs w:val="32"/>
        </w:rPr>
        <w:t xml:space="preserve">The transaction closes. The relationship persists. Every estate in this doctrine is a practice for building the relationship that persists. The career that consists of persisting relationships does not end. It compounds.</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220" w:after="0"/>
        <w:jc w:val="left"/>
      </w:pPr>
      <w:r>
        <w:rPr>
          <w:rFonts w:ascii="Garamond" w:cs="Garamond" w:eastAsia="Garamond" w:hAnsi="Garamond"/>
          <w:b w:val="false"/>
          <w:bCs w:val="false"/>
          <w:i w:val="false"/>
          <w:iCs w:val="false"/>
          <w:color w:val="0A0A0A"/>
          <w:sz w:val="24"/>
          <w:szCs w:val="24"/>
        </w:rPr>
        <w:t xml:space="preserve"/>
      </w:r>
    </w:p>
    <w:p>
      <w:pPr>
        <w:spacing w:before="0" w:after="120"/>
      </w:pPr>
      <w:r>
        <w:rPr>
          <w:rFonts w:ascii="Garamond" w:cs="Garamond" w:eastAsia="Garamond" w:hAnsi="Garamond"/>
          <w:b/>
          <w:bCs/>
          <w:i w:val="false"/>
          <w:iCs w:val="false"/>
          <w:color w:val="C4A95A"/>
          <w:sz w:val="24"/>
          <w:szCs w:val="24"/>
        </w:rPr>
        <w:t xml:space="preserve">THE PHILOSOPHY</w:t>
      </w:r>
    </w:p>
    <w:p>
      <w:pPr>
        <w:spacing w:before="160" w:after="100"/>
        <w:jc w:val="both"/>
      </w:pPr>
      <w:r>
        <w:rPr>
          <w:rFonts w:ascii="Garamond" w:cs="Garamond" w:eastAsia="Garamond" w:hAnsi="Garamond"/>
          <w:b w:val="false"/>
          <w:bCs w:val="false"/>
          <w:i w:val="false"/>
          <w:iCs w:val="false"/>
          <w:color w:val="1A1A1A"/>
          <w:sz w:val="24"/>
          <w:szCs w:val="24"/>
        </w:rPr>
        <w:t xml:space="preserve">The forty Estates in this doctrine describe forty specific domains of knowledge and practice. Each produces specific, measurable outcomes in the professional and financial dimensions of the agent's career. But the practice of each Estate, taken together across a career, produces something that the measurement of each individual Estate does not capture: a specific kind of professional that the clients they serve have never encountered before and will never forget.</w:t>
      </w:r>
    </w:p>
    <w:p>
      <w:pPr>
        <w:spacing w:before="160" w:after="100"/>
        <w:jc w:val="both"/>
      </w:pPr>
      <w:r>
        <w:rPr>
          <w:rFonts w:ascii="Garamond" w:cs="Garamond" w:eastAsia="Garamond" w:hAnsi="Garamond"/>
          <w:b w:val="false"/>
          <w:bCs w:val="false"/>
          <w:i w:val="false"/>
          <w:iCs w:val="false"/>
          <w:color w:val="1A1A1A"/>
          <w:sz w:val="24"/>
          <w:szCs w:val="24"/>
        </w:rPr>
        <w:t xml:space="preserve">The agent who has operated from surplus rather than scarcity, who has disclosed rather than managed, who has answered the real question rather than the stated one, who has noticed the reluctant partner, who has arrived at the courthouse before everyone else, who has prepared the appraisal package, who has run the inspection protocol, who has been genuinely present at the closing table and at the door of the neighbor and at the neighborhood association meeting — this agent is not just a real estate professional. They are a professional who happened to work in real estate. The distinction matters because the memory it produces persists far beyond the transaction and far beyond the market cycle.</w:t>
      </w:r>
    </w:p>
    <w:p>
      <w:pPr>
        <w:spacing w:before="160" w:after="100"/>
        <w:jc w:val="both"/>
      </w:pPr>
      <w:r>
        <w:rPr>
          <w:rFonts w:ascii="Garamond" w:cs="Garamond" w:eastAsia="Garamond" w:hAnsi="Garamond"/>
          <w:b w:val="false"/>
          <w:bCs w:val="false"/>
          <w:i w:val="false"/>
          <w:iCs w:val="false"/>
          <w:color w:val="1A1A1A"/>
          <w:sz w:val="24"/>
          <w:szCs w:val="24"/>
        </w:rPr>
        <w:t xml:space="preserve">The specific quality of the memory that the doctrine produces: clarity. The client who worked with an agent who practiced these Estates remembers specific things — specific moments of unexpected honesty, specific instances of knowledge that saved them from a mistake, specific decisions that protected their financial position in ways they did not know were at risk. These specific memories are the ones the client shares when real estate comes up in conversation. The sharing is not promotional. It is the spontaneous reporting of a specific experience that the client believes is unusual enough to be worth passing on.</w:t>
      </w:r>
    </w:p>
    <w:p>
      <w:pPr>
        <w:spacing w:before="160" w:after="100"/>
        <w:jc w:val="both"/>
      </w:pPr>
      <w:r>
        <w:rPr>
          <w:rFonts w:ascii="Garamond" w:cs="Garamond" w:eastAsia="Garamond" w:hAnsi="Garamond"/>
          <w:b w:val="false"/>
          <w:bCs w:val="false"/>
          <w:i w:val="false"/>
          <w:iCs w:val="false"/>
          <w:color w:val="1A1A1A"/>
          <w:sz w:val="24"/>
          <w:szCs w:val="24"/>
        </w:rPr>
        <w:t xml:space="preserve">The agent who begins this doctrine today will not feel its full compound for three years. The surplus takes time to build. The relationships take time to develop. The reputation takes time to establish. The referral rate takes time to compound. This is not a quarter or a year. It is a career. The agents who have run these practices for ten years are not hoping the doctrine works. They know it works. Because the evidence is in the pipeline they did not need to build, in the clients who called before they were asked to call, in the transactions that completed smoothly because every professional in the ecosystem responded to the agent's reputation before the first conversation began.</w:t>
      </w:r>
    </w:p>
    <w:p>
      <w:pPr>
        <w:spacing w:before="160" w:after="100"/>
        <w:jc w:val="both"/>
      </w:pPr>
      <w:r>
        <w:rPr>
          <w:rFonts w:ascii="Garamond" w:cs="Garamond" w:eastAsia="Garamond" w:hAnsi="Garamond"/>
          <w:b w:val="false"/>
          <w:bCs w:val="false"/>
          <w:i w:val="false"/>
          <w:iCs w:val="false"/>
          <w:color w:val="1A1A1A"/>
          <w:sz w:val="24"/>
          <w:szCs w:val="24"/>
        </w:rPr>
        <w:t xml:space="preserve">The final instruction of the doctrine is the simplest and the most demanding. Do the work. Not as strategy. Not as marketing. Not as the execution of a system. As the expression of the professional you have decided to become. The client sitting across from you in the next transaction has never worked with an agent who knows what you now know. They do not know what they are about to receive. Give it to them completely.</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6" w:space="4"/>
          <w:left w:val="single" w:color="C4A95A" w:sz="6" w:space="10"/>
        </w:pBdr>
        <w:spacing w:before="0" w:after="0"/>
        <w:ind w:left="200" w:right="200"/>
      </w:pPr>
      <w:r>
        <w:rPr>
          <w:rFonts w:ascii="Garamond" w:cs="Garamond" w:eastAsia="Garamond" w:hAnsi="Garamond"/>
          <w:b/>
          <w:bCs/>
          <w:i w:val="false"/>
          <w:iCs w:val="false"/>
          <w:color w:val="C4A95A"/>
          <w:sz w:val="20"/>
          <w:szCs w:val="20"/>
        </w:rPr>
        <w:t xml:space="preserve">THE BUILD: The Final Build</w:t>
      </w:r>
    </w:p>
    <w:p>
      <w:pPr>
        <w:pBdr>
          <w:bottom w:val="single" w:color="C4A95A" w:sz="6" w:space="4"/>
          <w:left w:val="single" w:color="C4A95A" w:sz="6" w:space="10"/>
        </w:pBdr>
        <w:spacing w:before="100" w:after="0"/>
        <w:ind w:left="200" w:right="200"/>
        <w:jc w:val="both"/>
      </w:pPr>
      <w:r>
        <w:rPr>
          <w:rFonts w:ascii="Garamond" w:cs="Garamond" w:eastAsia="Garamond" w:hAnsi="Garamond"/>
          <w:b w:val="false"/>
          <w:bCs w:val="false"/>
          <w:i w:val="false"/>
          <w:iCs w:val="false"/>
          <w:color w:val="1A1A1A"/>
          <w:sz w:val="20"/>
          <w:szCs w:val="20"/>
        </w:rPr>
        <w:t xml:space="preserve">You have entered forty Estates. You have read the Laws. You have run the mathematics. You have seen the proofs. You have confronted the Mirrors. Now comes the only part that matters: application. Pick the single Estate that your practice most needs right now. Execute the Build practice this week. Not next week. Not when the pipeline is slow. This week. The compound begins when the first action is taken. Take it now.</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14" w:space="14"/>
        </w:pBdr>
        <w:spacing w:before="160" w:after="160"/>
        <w:ind w:left="360"/>
      </w:pPr>
      <w:r>
        <w:rPr>
          <w:rFonts w:ascii="Garamond" w:cs="Garamond" w:eastAsia="Garamond" w:hAnsi="Garamond"/>
          <w:b w:val="false"/>
          <w:bCs w:val="false"/>
          <w:i/>
          <w:iCs/>
          <w:color w:val="C4A95A"/>
          <w:sz w:val="20"/>
          <w:szCs w:val="20"/>
        </w:rPr>
        <w:t xml:space="preserve">MIRROR: </w:t>
      </w:r>
      <w:r>
        <w:rPr>
          <w:rFonts w:ascii="Garamond" w:cs="Garamond" w:eastAsia="Garamond" w:hAnsi="Garamond"/>
          <w:b w:val="false"/>
          <w:bCs w:val="false"/>
          <w:i/>
          <w:iCs/>
          <w:color w:val="1A1A1A"/>
          <w:sz w:val="20"/>
          <w:szCs w:val="20"/>
        </w:rPr>
        <w:t xml:space="preserve">If you practiced every Estate in this doctrine at the level it was described for the next five years — what would the career look like? What would the income look like? What would the client relationships look like? What would the professional reputation in your market look like? Hold that picture. Now ask: what specific action this week begins to make it real?</w:t>
      </w:r>
    </w:p>
    <w:p>
      <w:pPr>
        <w:pBdr>
          <w:left w:val="single" w:color="C4A95A" w:sz="20" w:space="20"/>
          <w:right w:val="single" w:color="C4A95A" w:sz="4" w:space="16"/>
        </w:pBdr>
        <w:spacing w:before="300" w:after="300"/>
        <w:ind w:left="360" w:right="360"/>
        <w:jc w:val="center"/>
      </w:pPr>
      <w:r>
        <w:rPr>
          <w:rFonts w:ascii="Garamond" w:cs="Garamond" w:eastAsia="Garamond" w:hAnsi="Garamond"/>
          <w:b w:val="false"/>
          <w:bCs w:val="false"/>
          <w:i/>
          <w:iCs/>
          <w:color w:val="C4A95A"/>
          <w:sz w:val="30"/>
          <w:szCs w:val="30"/>
        </w:rPr>
        <w:t xml:space="preserve">The doctrine is complete. The work begins.</w:t>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pBdr>
          <w:bottom w:val="single" w:color="C4A95A" w:sz="8" w:space="6"/>
        </w:pBdr>
        <w:spacing w:before="120" w:after="120"/>
      </w:pPr>
      <w:r>
        <w:rPr>
          <w:rFonts w:ascii="Garamond" w:cs="Garamond" w:eastAsia="Garamond" w:hAnsi="Garamond"/>
          <w:b w:val="false"/>
          <w:bCs w:val="false"/>
          <w:i w:val="false"/>
          <w:iCs w:val="false"/>
          <w:color w:val="0A0A0A"/>
          <w:sz w:val="24"/>
          <w:szCs w:val="24"/>
        </w:rPr>
        <w:t xml:space="preserve"/>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200"/>
        <w:jc w:val="center"/>
      </w:pPr>
      <w:r>
        <w:rPr>
          <w:rFonts w:ascii="Garamond" w:cs="Garamond" w:eastAsia="Garamond" w:hAnsi="Garamond"/>
          <w:b w:val="false"/>
          <w:bCs w:val="false"/>
          <w:i/>
          <w:iCs/>
          <w:color w:val="C4A95A"/>
          <w:sz w:val="36"/>
          <w:szCs w:val="36"/>
        </w:rPr>
        <w:t xml:space="preserve">The Benediction</w:t>
      </w:r>
    </w:p>
    <w:p>
      <w:pPr>
        <w:pBdr>
          <w:bottom w:val="single" w:color="C4A95A" w:sz="8" w:space="6"/>
        </w:pBdr>
        <w:spacing w:before="120" w:after="120"/>
      </w:pPr>
      <w:r>
        <w:rPr>
          <w:rFonts w:ascii="Garamond" w:cs="Garamond" w:eastAsia="Garamond" w:hAnsi="Garamond"/>
          <w:b w:val="false"/>
          <w:bCs w:val="false"/>
          <w:i w:val="false"/>
          <w:iCs w:val="false"/>
          <w:color w:val="0A0A0A"/>
          <w:sz w:val="24"/>
          <w:szCs w:val="24"/>
        </w:rPr>
        <w:t xml:space="preserve"/>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160" w:after="100"/>
        <w:jc w:val="both"/>
      </w:pPr>
      <w:r>
        <w:rPr>
          <w:rFonts w:ascii="Garamond" w:cs="Garamond" w:eastAsia="Garamond" w:hAnsi="Garamond"/>
          <w:b w:val="false"/>
          <w:bCs w:val="false"/>
          <w:i w:val="false"/>
          <w:iCs w:val="false"/>
          <w:color w:val="1A1A1A"/>
          <w:sz w:val="24"/>
          <w:szCs w:val="24"/>
        </w:rPr>
        <w:t xml:space="preserve">You have entered the Estate. You have walked every room. You have read what the industry does not teach, the records no one else is reading, the conversations no one else is having, the calculations no one else is running.</w:t>
      </w:r>
    </w:p>
    <w:p>
      <w:pPr>
        <w:spacing w:before="160" w:after="100"/>
        <w:jc w:val="both"/>
      </w:pPr>
      <w:r>
        <w:rPr>
          <w:rFonts w:ascii="Garamond" w:cs="Garamond" w:eastAsia="Garamond" w:hAnsi="Garamond"/>
          <w:b w:val="false"/>
          <w:bCs w:val="false"/>
          <w:i w:val="false"/>
          <w:iCs w:val="false"/>
          <w:color w:val="1A1A1A"/>
          <w:sz w:val="24"/>
          <w:szCs w:val="24"/>
        </w:rPr>
        <w:t xml:space="preserve">The doctrine is yours now.</w:t>
      </w:r>
    </w:p>
    <w:p>
      <w:pPr>
        <w:spacing w:before="160" w:after="100"/>
        <w:jc w:val="both"/>
      </w:pPr>
      <w:r>
        <w:rPr>
          <w:rFonts w:ascii="Garamond" w:cs="Garamond" w:eastAsia="Garamond" w:hAnsi="Garamond"/>
          <w:b w:val="false"/>
          <w:bCs w:val="false"/>
          <w:i w:val="false"/>
          <w:iCs w:val="false"/>
          <w:color w:val="1A1A1A"/>
          <w:sz w:val="24"/>
          <w:szCs w:val="24"/>
        </w:rPr>
        <w:t xml:space="preserve">The delinquent tax list waits in the county treasurer's records. The probate filings accumulate in the courthouse that is two miles from your brokerage. The reluctant partner sits across from you in the room where everyone is talking to the wrong person. The loan officer has buyers they have not referred yet. The appraiser is waiting for the package you have not sent. The client from three years ago has not heard from you since the closing. The listing you are about to take is overpriced and you know it.</w:t>
      </w:r>
    </w:p>
    <w:p>
      <w:pPr>
        <w:spacing w:before="160" w:after="100"/>
        <w:jc w:val="both"/>
      </w:pPr>
      <w:r>
        <w:rPr>
          <w:rFonts w:ascii="Garamond" w:cs="Garamond" w:eastAsia="Garamond" w:hAnsi="Garamond"/>
          <w:b w:val="false"/>
          <w:bCs w:val="false"/>
          <w:i w:val="false"/>
          <w:iCs w:val="false"/>
          <w:color w:val="1A1A1A"/>
          <w:sz w:val="24"/>
          <w:szCs w:val="24"/>
        </w:rPr>
        <w:t xml:space="preserve">The doctrine tells you exactly what to do with each of these.</w:t>
      </w:r>
    </w:p>
    <w:p>
      <w:pPr>
        <w:spacing w:before="160" w:after="100"/>
        <w:jc w:val="both"/>
      </w:pPr>
      <w:r>
        <w:rPr>
          <w:rFonts w:ascii="Garamond" w:cs="Garamond" w:eastAsia="Garamond" w:hAnsi="Garamond"/>
          <w:b w:val="false"/>
          <w:bCs w:val="false"/>
          <w:i w:val="false"/>
          <w:iCs w:val="false"/>
          <w:color w:val="1A1A1A"/>
          <w:sz w:val="24"/>
          <w:szCs w:val="24"/>
        </w:rPr>
        <w:t xml:space="preserve">The professional you are becoming is not the agent who knows what to do. There are many agents who know. The professional you are becoming is the agent who does what they know, consistently, in the transactions that are easy and in the transactions that are hard, in the months when the market cooperates and in the months when it does not, in the client relationships where the client makes it simple and in the client relationships where the client makes it difficult.</w:t>
      </w:r>
    </w:p>
    <w:p>
      <w:pPr>
        <w:spacing w:before="160" w:after="100"/>
        <w:jc w:val="both"/>
      </w:pPr>
      <w:r>
        <w:rPr>
          <w:rFonts w:ascii="Garamond" w:cs="Garamond" w:eastAsia="Garamond" w:hAnsi="Garamond"/>
          <w:b w:val="false"/>
          <w:bCs w:val="false"/>
          <w:i w:val="false"/>
          <w:iCs w:val="false"/>
          <w:color w:val="1A1A1A"/>
          <w:sz w:val="24"/>
          <w:szCs w:val="24"/>
        </w:rPr>
        <w:t xml:space="preserve">The consistency is the doctrine. Everything else is information.</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160" w:after="100"/>
        <w:jc w:val="both"/>
      </w:pPr>
      <w:r>
        <w:rPr>
          <w:rFonts w:ascii="Garamond" w:cs="Garamond" w:eastAsia="Garamond" w:hAnsi="Garamond"/>
          <w:b w:val="false"/>
          <w:bCs w:val="false"/>
          <w:i w:val="false"/>
          <w:iCs w:val="false"/>
          <w:color w:val="1A1A1A"/>
          <w:sz w:val="24"/>
          <w:szCs w:val="24"/>
        </w:rPr>
        <w:t xml:space="preserve">The specific thing that will not change after you set this document down: the delinquent tax list is still there. The probate filings are still being filed. The reluctant partner is still quiet in every room across town. The loan officer still has three buyers who need an agent. These situations do not wait for preparation. They are the preparation.</w:t>
      </w:r>
    </w:p>
    <w:p>
      <w:pPr>
        <w:spacing w:before="160" w:after="100"/>
        <w:jc w:val="both"/>
      </w:pPr>
      <w:r>
        <w:rPr>
          <w:rFonts w:ascii="Garamond" w:cs="Garamond" w:eastAsia="Garamond" w:hAnsi="Garamond"/>
          <w:b w:val="false"/>
          <w:bCs w:val="false"/>
          <w:i w:val="false"/>
          <w:iCs w:val="false"/>
          <w:color w:val="1A1A1A"/>
          <w:sz w:val="24"/>
          <w:szCs w:val="24"/>
        </w:rPr>
        <w:t xml:space="preserve">Go to the courthouse. Run the numbers. Call the reluctant partner. Write the appraisal package. Build the surplus. Tell the seller what the market will actually produce. Be at the closing table when the signature is made and ask the question that nobody else asks.</w:t>
      </w:r>
    </w:p>
    <w:p>
      <w:pPr>
        <w:spacing w:before="160" w:after="100"/>
        <w:jc w:val="both"/>
      </w:pPr>
      <w:r>
        <w:rPr>
          <w:rFonts w:ascii="Garamond" w:cs="Garamond" w:eastAsia="Garamond" w:hAnsi="Garamond"/>
          <w:b w:val="false"/>
          <w:bCs w:val="false"/>
          <w:i w:val="false"/>
          <w:iCs w:val="false"/>
          <w:color w:val="1A1A1A"/>
          <w:sz w:val="24"/>
          <w:szCs w:val="24"/>
        </w:rPr>
        <w:t xml:space="preserve">The career that compounds from this practice is not a possibility. For the agent who executes consistently, it is an arithmetic certainty.</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left w:val="single" w:color="C4A95A" w:sz="20" w:space="20"/>
          <w:right w:val="single" w:color="C4A95A" w:sz="4" w:space="16"/>
        </w:pBdr>
        <w:spacing w:before="300" w:after="300"/>
        <w:ind w:left="360" w:right="360"/>
        <w:jc w:val="center"/>
      </w:pPr>
      <w:r>
        <w:rPr>
          <w:rFonts w:ascii="Garamond" w:cs="Garamond" w:eastAsia="Garamond" w:hAnsi="Garamond"/>
          <w:b w:val="false"/>
          <w:bCs w:val="false"/>
          <w:i/>
          <w:iCs/>
          <w:color w:val="C4A95A"/>
          <w:sz w:val="30"/>
          <w:szCs w:val="30"/>
        </w:rPr>
        <w:t xml:space="preserve">The Estate is yours. Do not share it. Build it.</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right"/>
      </w:pPr>
      <w:r>
        <w:rPr>
          <w:rFonts w:ascii="Garamond" w:cs="Garamond" w:eastAsia="Garamond" w:hAnsi="Garamond"/>
          <w:b w:val="false"/>
          <w:bCs w:val="false"/>
          <w:i/>
          <w:iCs/>
          <w:color w:val="555555"/>
          <w:sz w:val="20"/>
          <w:szCs w:val="20"/>
        </w:rPr>
        <w:t xml:space="preserve">Copy No. ______</w:t>
      </w:r>
    </w:p>
    <w:p>
      <w:pPr>
        <w:spacing w:before="0" w:after="0"/>
        <w:jc w:val="right"/>
      </w:pPr>
      <w:r>
        <w:rPr>
          <w:rFonts w:ascii="Garamond" w:cs="Garamond" w:eastAsia="Garamond" w:hAnsi="Garamond"/>
          <w:b w:val="false"/>
          <w:bCs w:val="false"/>
          <w:i/>
          <w:iCs/>
          <w:color w:val="555555"/>
          <w:sz w:val="18"/>
          <w:szCs w:val="18"/>
        </w:rPr>
        <w:t xml:space="preserve">THE ESTATE · PLT Press · First Edition</w:t>
      </w:r>
    </w:p>
    <w:p>
      <w:pPr>
        <w:spacing w:before="0" w:after="0"/>
        <w:jc w:val="right"/>
      </w:pPr>
      <w:r>
        <w:rPr>
          <w:rFonts w:ascii="Garamond" w:cs="Garamond" w:eastAsia="Garamond" w:hAnsi="Garamond"/>
          <w:b w:val="false"/>
          <w:bCs w:val="false"/>
          <w:i/>
          <w:iCs/>
          <w:color w:val="555555"/>
          <w:sz w:val="18"/>
          <w:szCs w:val="18"/>
        </w:rPr>
        <w:t xml:space="preserve">Internal Distribution Only · Not for Redistribution</w:t>
      </w:r>
    </w:p>
    <w:sectPr>
      <w:pgSz w:w="12240" w:h="15840" w:orient="portrait"/>
      <w:pgMar w:top="1440" w:right="1440"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2026-04-03T08:31:50.209Z</dcterms:created>
  <dcterms:modified xsi:type="dcterms:W3CDTF">2026-04-03T08:31:50.213Z</dcterms:modified>
</cp:coreProperties>
</file>

<file path=docProps/custom.xml><?xml version="1.0" encoding="utf-8"?>
<Properties xmlns="http://schemas.openxmlformats.org/officeDocument/2006/custom-properties" xmlns:vt="http://schemas.openxmlformats.org/officeDocument/2006/docPropsVTypes"/>
</file>