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B4F8A"/>
          <w:sz w:val="48"/>
          <w:szCs w:val="48"/>
        </w:rPr>
        <w:t xml:space="preserve">ReturnBrain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Architecture Decision Records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v1.0  |  June 2026</w:t>
      </w:r>
    </w:p>
    <w:p>
      <w:pPr>
        <w:pBdr>
          <w:bottom w:val="single" w:color="1B4F8A" w:sz="8" w:space="1"/>
        </w:pBdr>
        <w:spacing w:after="160" w:before="0"/>
      </w:pP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This document captures significant architectural decisions made during the design of ReturnBrain. Each ADR documents the context, decision, rationale, and consequences, providing a permanent audit trail of why the system is shaped the way it is.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ADR-001: Use FastAPI for Backend Services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Status: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Accepted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Context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We need a backend framework for five Python microservices. Candidates considered: Django REST Framework, FastAPI, Flask.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Decision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We will use FastAPI for all backend services.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Rationale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FastAPI is async-native, which is critical for non-blocking I/O during LLM API calls that may take 3-5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Pydantic v2 integration provides automatic request/response validation with zero boilerplate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Auto-generated OpenAPI docs reduce documentation overhead during rapid iteration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Strong typing with Python type hints makes service contracts explicit and IDE-friendly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Consequences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POSITIVE: Faster development iteration; automatic API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POSITIVE: Async handlers prevent thread pool exhaustion during concurrent AI calls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NEGATIVE: Smaller ecosystem than Django; some Django-native features need manual setup (admin panel, ORM)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MITIGATION: Use SQLAlchemy 2.0 (async) for ORM; build lightweight admin UI in React</w:t>
      </w:r>
    </w:p>
    <w:p>
      <w:pPr>
        <w:pBdr>
          <w:bottom w:val="single" w:color="BDC3C7" w:sz="8" w:space="1"/>
        </w:pBdr>
        <w:spacing w:after="160" w:before="0"/>
      </w:pPr>
    </w:p>
    <w:p>
      <w:pPr>
        <w:spacing w:after="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ADR-002: Use RabbitMQ as Event Bus for v1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Status: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Accepted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Context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system needs an event bus for decoupled, asynchronous communication between services. Candidates: Kafka, RabbitMQ, AWS SQS, in-process queues.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Decision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We will use RabbitMQ for v1, with a migration path to Kafka for v2+.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Rationale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v1 volume is modest (hundreds of devices/day); RabbitMQ is operationally simpler and has lower resource overhead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RabbitMQ's AMQP protocol is well-supported by Python (via aio-pika); native dead-letter queue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Amazon MQ provides managed RabbitMQ, reducing ops burden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Event schemas designed to be Kafka-compatible (keyed by device_id); migration is a protocol swap, not a schema redesign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Consequences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POSITIVE: Lower operational complexity in 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POSITIVE: Managed service available (Amazon MQ)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NEGATIVE: No native log compaction or event replay beyond RabbitMQ's shovel plugin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RISK: If volume grows 10x before v2 migration, RabbitMQ may become a bottleneck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MITIGATION: Design events to be idempotent; all consumers must handle duplicate delivery</w:t>
      </w:r>
    </w:p>
    <w:p>
      <w:pPr>
        <w:pBdr>
          <w:bottom w:val="single" w:color="BDC3C7" w:sz="8" w:space="1"/>
        </w:pBdr>
        <w:spacing w:after="160" w:before="0"/>
      </w:pPr>
    </w:p>
    <w:p>
      <w:pPr>
        <w:spacing w:after="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ADR-003: LLM Provider: Anthropic Claude API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Status: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Accepted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Context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An LLM is required for the AI Decision Service. Candidates: OpenAI GPT-4o, Anthropic Claude, Google Gemini, local fine-tuned model.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Decision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We will use Anthropic Claude (claude-sonnet model) as the primary LLM provider, with the provider isolated behind an internal interface for swap-out.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Rationale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Claude Sonnet provides an optimal balance of reasoning quality and latency for structured decision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Anthropic's structured output feature (JSON schema enforcement) ensures parseable responses without regex hacks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Claude's context window is sufficient for including device history and rule context in a single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Provider is isolated behind a DecisionLLMProvider interface; swapping to GPT-4o or a local model requires changing one adapter class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Consequences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POSITIVE: High quality reasoning with explicit chain-of-thought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POSITIVE: Structured output eliminates response parsing fragility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NEGATIVE: External API dependency; network latency adds 1-4 seconds to decision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NEGATIVE: Cost per decision scales linearly with volume; must monitor token usage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MITIGATION: Cache identical inputs (device model + grade + battery + test result) for 24h to reduce redundant API calls</w:t>
      </w:r>
    </w:p>
    <w:p>
      <w:pPr>
        <w:pBdr>
          <w:bottom w:val="single" w:color="BDC3C7" w:sz="8" w:space="1"/>
        </w:pBdr>
        <w:spacing w:after="160" w:before="0"/>
      </w:pPr>
    </w:p>
    <w:p>
      <w:pPr>
        <w:spacing w:after="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ADR-004: Rules Engine Evaluates Before AI Invocation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Status: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Accepted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Context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There is a design choice about when business rules run: (a) before AI, (b) after AI, (c) only AI with rules as prompting context, (d) parallel evaluation with a merge step.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Decision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Business rules evaluate BEFORE AI invocation. Hard rules block or constrain the AI path. Soft rules are injected as additional context into the prompt.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Rationale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Hard business rules (e.g. swollen battery = RECYCLE) must never be overridden by AI; pre-evaluation enforces this structurally, not just in the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Pre-evaluation reduces wasted LLM tokens and cost on devices where the outcome is deterministic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Injecting soft rule guidance as prompt context allows AI to reason within the policy envelope without being blindly constrained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This architecture makes the system auditable: a decision record always shows which rule (if any) influenced the path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Consequences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POSITIVE: Hard rules are never bypassed by AI hallucination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POSITIVE: Reduced LLM cost on deterministic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POSITIVE: Clear audit trail: rule_applied column on decisions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NEGATIVE: Rule evaluation adds ~10ms of latency before AI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NEGATIVE: Rules and AI may occasionally conflict in edge cases; conflict resolution must be explicit</w:t>
      </w:r>
    </w:p>
    <w:p>
      <w:pPr>
        <w:pBdr>
          <w:bottom w:val="single" w:color="BDC3C7" w:sz="8" w:space="1"/>
        </w:pBdr>
        <w:spacing w:after="160" w:before="0"/>
      </w:pPr>
    </w:p>
    <w:p>
      <w:pPr>
        <w:spacing w:after="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ADR-005: PostgreSQL with JSONB for Rules and Reasoning Storage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Status: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Accepted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Context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Storage options for variable-schema data (rule condition trees, AI reasoning chains): dedicated document store (MongoDB), Redis JSON, or PostgreSQL JSONB.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Decision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Use PostgreSQL 16 with JSONB columns for rule conditions and AI reasoning chains. No separate document store.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Rationale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Eliminates a polyglot persistence dependency; one database engine to operate and back 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PostgreSQL JSONB supports GIN indexing and JSON path queries, sufficient for rule evaluation and reasoning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ACID transactions span structured (device records) and semi-structured (rules, reasoning) data in a single operation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Rule conditions are read frequently but updated rarely; JSONB query performance is adequate for this pattern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Consequences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POSITIVE: Single database engine reduces operational complexity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POSITIVE: ACID guarantees across all data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NEGATIVE: Less flexible schema evolution than a native document 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NEGATIVE: Complex JSON path queries in PostgreSQL are less expressive than MongoDB aggregation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MITIGATION: Rule conditions are read-parsed into Python objects at service startup; complex querying happens in application layer, not SQL</w:t>
      </w:r>
    </w:p>
    <w:p>
      <w:pPr>
        <w:pBdr>
          <w:bottom w:val="single" w:color="BDC3C7" w:sz="8" w:space="1"/>
        </w:pBdr>
        <w:spacing w:after="160" w:before="0"/>
      </w:pPr>
    </w:p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6"/>
        <w:szCs w:val="16"/>
      </w:rPr>
      <w:t xml:space="preserve"> of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7F8C8D"/>
        <w:sz w:val="16"/>
        <w:szCs w:val="16"/>
      </w:rPr>
      <w:t xml:space="preserve">ReturnBrain — Architecture Decision Records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C1C1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2026-06-09T09:15:17.685Z</dcterms:created>
  <dcterms:modified xsi:type="dcterms:W3CDTF">2026-06-09T09:15:17.685Z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