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B4F8A"/>
          <w:sz w:val="48"/>
          <w:szCs w:val="48"/>
        </w:rPr>
        <w:t xml:space="preserve">ReturnBrain</w:t>
      </w:r>
    </w:p>
    <w:p>
      <w:pPr>
        <w:spacing w:after="80" w:before="0"/>
        <w:jc w:val="center"/>
      </w:pPr>
      <w:r>
        <w:rPr>
          <w:rFonts w:ascii="Arial" w:cs="Arial" w:eastAsia="Arial" w:hAnsi="Arial"/>
          <w:color w:val="2E86C1"/>
          <w:sz w:val="28"/>
          <w:szCs w:val="28"/>
        </w:rPr>
        <w:t xml:space="preserve">Edge Cases, Limitations &amp; Tradeoffs</w:t>
      </w:r>
    </w:p>
    <w:p>
      <w:pPr>
        <w:spacing w:after="480" w:before="0"/>
        <w:jc w:val="center"/>
      </w:pPr>
      <w:r>
        <w:rPr>
          <w:rFonts w:ascii="Arial" w:cs="Arial" w:eastAsia="Arial" w:hAnsi="Arial"/>
          <w:color w:val="7F8C8D"/>
          <w:sz w:val="20"/>
          <w:szCs w:val="20"/>
        </w:rPr>
        <w:t xml:space="preserve">v1.0  |  June 2026</w:t>
      </w:r>
    </w:p>
    <w:p>
      <w:pPr>
        <w:pBdr>
          <w:bottom w:val="single" w:color="1B4F8A" w:sz="8" w:space="1"/>
        </w:pBdr>
        <w:spacing w:after="160" w:before="0"/>
      </w:pPr>
    </w:p>
    <w:p>
      <w:pPr>
        <w:spacing w:after="0" w:before="80"/>
      </w:pPr>
      <w:r>
        <w:t xml:space="preserve"/>
      </w:r>
    </w:p>
    <w:p>
      <w:pPr>
        <w:spacing w:after="80" w:before="80"/>
      </w:pPr>
      <w:r>
        <w:rPr>
          <w:rFonts w:ascii="Arial" w:cs="Arial" w:eastAsia="Arial" w:hAnsi="Arial"/>
          <w:color w:val="1C1C1C"/>
          <w:sz w:val="22"/>
          <w:szCs w:val="22"/>
        </w:rPr>
        <w:t xml:space="preserve">This document is the honest accounting of what ReturnBrain does not do well in v1, where it makes assumptions, and where it will fail under certain conditions. This transparency is intentional — an AI system without a documented failure envelope is a liability, not an asset.</w:t>
      </w:r>
    </w:p>
    <w:p>
      <w:pPr>
        <w:spacing w:after="0" w:before="160"/>
      </w:pPr>
      <w:r>
        <w:t xml:space="preserve"/>
      </w:r>
    </w:p>
    <w:p>
      <w:pPr>
        <w:pStyle w:val="Heading1"/>
        <w:spacing w:after="120" w:before="320"/>
      </w:pPr>
      <w:r>
        <w:rPr>
          <w:rFonts w:ascii="Arial" w:cs="Arial" w:eastAsia="Arial" w:hAnsi="Arial"/>
          <w:b/>
          <w:bCs/>
          <w:color w:val="1B4F8A"/>
          <w:sz w:val="32"/>
          <w:szCs w:val="32"/>
        </w:rPr>
        <w:t xml:space="preserve">1. Documented Edge Cases</w:t>
      </w:r>
    </w:p>
    <w:p>
      <w:pPr>
        <w:pStyle w:val="Heading2"/>
        <w:spacing w:after="120" w:before="320"/>
      </w:pPr>
      <w:r>
        <w:rPr>
          <w:rFonts w:ascii="Arial" w:cs="Arial" w:eastAsia="Arial" w:hAnsi="Arial"/>
          <w:b/>
          <w:bCs/>
          <w:color w:val="2E86C1"/>
          <w:sz w:val="26"/>
          <w:szCs w:val="26"/>
        </w:rPr>
        <w:t xml:space="preserve">1.1 Conflicting Signal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Signal</w:t>
            </w:r>
          </w:p>
        </w:tc>
        <w:tc>
          <w:tcPr>
            <w:tcW w:type="dxa" w:w="25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Value</w:t>
            </w:r>
          </w:p>
        </w:tc>
        <w:tc>
          <w:tcPr>
            <w:tcW w:type="dxa" w:w="43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Implication</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1C1C"/>
                <w:sz w:val="20"/>
                <w:szCs w:val="20"/>
              </w:rPr>
              <w:t xml:space="preserve">Condition Grade</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1C1C"/>
                <w:sz w:val="20"/>
                <w:szCs w:val="20"/>
              </w:rPr>
              <w:t xml:space="preserve">A (excellent cosmetic)</w:t>
            </w:r>
          </w:p>
        </w:tc>
        <w:tc>
          <w:tcPr>
            <w:tcW w:type="dxa" w:w="43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1C1C"/>
                <w:sz w:val="20"/>
                <w:szCs w:val="20"/>
              </w:rPr>
              <w:t xml:space="preserve">Suggests high resale value</w:t>
            </w:r>
          </w:p>
        </w:tc>
      </w:tr>
      <w:tr>
        <w:tc>
          <w:tcPr>
            <w:tcW w:type="dxa" w:w="25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color w:val="1C1C1C"/>
                <w:sz w:val="20"/>
                <w:szCs w:val="20"/>
              </w:rPr>
              <w:t xml:space="preserve">Battery Health</w:t>
            </w:r>
          </w:p>
        </w:tc>
        <w:tc>
          <w:tcPr>
            <w:tcW w:type="dxa" w:w="25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color w:val="1C1C1C"/>
                <w:sz w:val="20"/>
                <w:szCs w:val="20"/>
              </w:rPr>
              <w:t xml:space="preserve">54%</w:t>
            </w:r>
          </w:p>
        </w:tc>
        <w:tc>
          <w:tcPr>
            <w:tcW w:type="dxa" w:w="43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color w:val="1C1C1C"/>
                <w:sz w:val="20"/>
                <w:szCs w:val="20"/>
              </w:rPr>
              <w:t xml:space="preserve">Below refurb threshold — reduces value significantly</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1C1C"/>
                <w:sz w:val="20"/>
                <w:szCs w:val="20"/>
              </w:rPr>
              <w:t xml:space="preserve">Functional Test</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1C1C"/>
                <w:sz w:val="20"/>
                <w:szCs w:val="20"/>
              </w:rPr>
              <w:t xml:space="preserve">PASS</w:t>
            </w:r>
          </w:p>
        </w:tc>
        <w:tc>
          <w:tcPr>
            <w:tcW w:type="dxa" w:w="43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1C1C"/>
                <w:sz w:val="20"/>
                <w:szCs w:val="20"/>
              </w:rPr>
              <w:t xml:space="preserve">Device works correctly</w:t>
            </w:r>
          </w:p>
        </w:tc>
      </w:tr>
      <w:tr>
        <w:tc>
          <w:tcPr>
            <w:tcW w:type="dxa" w:w="25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color w:val="1C1C1C"/>
                <w:sz w:val="20"/>
                <w:szCs w:val="20"/>
              </w:rPr>
              <w:t xml:space="preserve">Market Price</w:t>
            </w:r>
          </w:p>
        </w:tc>
        <w:tc>
          <w:tcPr>
            <w:tcW w:type="dxa" w:w="25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color w:val="1C1C1C"/>
                <w:sz w:val="20"/>
                <w:szCs w:val="20"/>
              </w:rPr>
              <w:t xml:space="preserve">INR 42,000 (premium model)</w:t>
            </w:r>
          </w:p>
        </w:tc>
        <w:tc>
          <w:tcPr>
            <w:tcW w:type="dxa" w:w="43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color w:val="1C1C1C"/>
                <w:sz w:val="20"/>
                <w:szCs w:val="20"/>
              </w:rPr>
              <w:t xml:space="preserve">Strong resale market</w:t>
            </w:r>
          </w:p>
        </w:tc>
      </w:tr>
    </w:tbl>
    <w:p>
      <w:pPr>
        <w:spacing w:after="0" w:before="80"/>
      </w:pPr>
      <w:r>
        <w:t xml:space="preserve"/>
      </w:r>
    </w:p>
    <w:p>
      <w:pPr>
        <w:spacing w:after="60" w:before="60"/>
      </w:pPr>
      <w:r>
        <w:rPr>
          <w:rFonts w:ascii="Arial" w:cs="Arial" w:eastAsia="Arial" w:hAnsi="Arial"/>
          <w:b/>
          <w:bCs/>
          <w:color w:val="1B4F8A"/>
          <w:sz w:val="22"/>
          <w:szCs w:val="22"/>
        </w:rPr>
        <w:t xml:space="preserve">Expected AI Behaviour: </w:t>
      </w:r>
      <w:r>
        <w:rPr>
          <w:rFonts w:ascii="Arial" w:cs="Arial" w:eastAsia="Arial" w:hAnsi="Arial"/>
          <w:color w:val="1C1C1C"/>
          <w:sz w:val="22"/>
          <w:szCs w:val="22"/>
        </w:rPr>
        <w:t xml:space="preserve">The AI must surface the conflict explicitly. It should NOT silently pick one signal and ignore others. Expected output: recommended_action = REPAIR (battery replacement), confidence = 62 (low — conflict), reasoning includes both the case for and against refurb, and explicitly names the battery as the deciding factor.</w:t>
      </w:r>
    </w:p>
    <w:p>
      <w:pPr>
        <w:spacing w:after="60" w:before="60"/>
      </w:pPr>
      <w:r>
        <w:rPr>
          <w:rFonts w:ascii="Arial" w:cs="Arial" w:eastAsia="Arial" w:hAnsi="Arial"/>
          <w:b/>
          <w:bCs/>
          <w:color w:val="1B4F8A"/>
          <w:sz w:val="22"/>
          <w:szCs w:val="22"/>
        </w:rPr>
        <w:t xml:space="preserve">Risk if Unhandled: </w:t>
      </w:r>
      <w:r>
        <w:rPr>
          <w:rFonts w:ascii="Arial" w:cs="Arial" w:eastAsia="Arial" w:hAnsi="Arial"/>
          <w:color w:val="1C1C1C"/>
          <w:sz w:val="22"/>
          <w:szCs w:val="22"/>
        </w:rPr>
        <w:t xml:space="preserve">High-confidence wrong recommendation: device sold as Grade A but fails for buyer due to poor battery life.</w:t>
      </w:r>
    </w:p>
    <w:p>
      <w:pPr>
        <w:spacing w:after="60" w:before="60"/>
      </w:pPr>
      <w:r>
        <w:rPr>
          <w:rFonts w:ascii="Arial" w:cs="Arial" w:eastAsia="Arial" w:hAnsi="Arial"/>
          <w:b/>
          <w:bCs/>
          <w:color w:val="1B4F8A"/>
          <w:sz w:val="22"/>
          <w:szCs w:val="22"/>
        </w:rPr>
        <w:t xml:space="preserve">Mitigation: </w:t>
      </w:r>
      <w:r>
        <w:rPr>
          <w:rFonts w:ascii="Arial" w:cs="Arial" w:eastAsia="Arial" w:hAnsi="Arial"/>
          <w:color w:val="1C1C1C"/>
          <w:sz w:val="22"/>
          <w:szCs w:val="22"/>
        </w:rPr>
        <w:t xml:space="preserve">Confidence threshold of &lt;70 forces human review for all conflicted decisions. Reasoning chain is surfaced to operator.</w:t>
      </w:r>
    </w:p>
    <w:p>
      <w:pPr>
        <w:spacing w:after="0" w:before="160"/>
      </w:pPr>
      <w:r>
        <w:t xml:space="preserve"/>
      </w:r>
    </w:p>
    <w:p>
      <w:pPr>
        <w:pStyle w:val="Heading2"/>
        <w:spacing w:after="120" w:before="320"/>
      </w:pPr>
      <w:r>
        <w:rPr>
          <w:rFonts w:ascii="Arial" w:cs="Arial" w:eastAsia="Arial" w:hAnsi="Arial"/>
          <w:b/>
          <w:bCs/>
          <w:color w:val="2E86C1"/>
          <w:sz w:val="26"/>
          <w:szCs w:val="26"/>
        </w:rPr>
        <w:t xml:space="preserve">1.2 Swollen Battery (Safety-Critical)</w:t>
      </w:r>
    </w:p>
    <w:p>
      <w:pPr>
        <w:spacing w:after="80" w:before="80"/>
      </w:pPr>
      <w:r>
        <w:rPr>
          <w:rFonts w:ascii="Arial" w:cs="Arial" w:eastAsia="Arial" w:hAnsi="Arial"/>
          <w:color w:val="1C1C1C"/>
          <w:sz w:val="22"/>
          <w:szCs w:val="22"/>
        </w:rPr>
        <w:t xml:space="preserve">A swollen battery is a physical safety hazard. This is not a disposition optimisation decision — it is a compliance and safety matter.</w:t>
      </w:r>
    </w:p>
    <w:p>
      <w:pPr>
        <w:spacing w:after="60" w:before="60"/>
      </w:pPr>
      <w:r>
        <w:rPr>
          <w:rFonts w:ascii="Arial" w:cs="Arial" w:eastAsia="Arial" w:hAnsi="Arial"/>
          <w:b/>
          <w:bCs/>
          <w:color w:val="1B4F8A"/>
          <w:sz w:val="22"/>
          <w:szCs w:val="22"/>
        </w:rPr>
        <w:t xml:space="preserve">Rule: </w:t>
      </w:r>
      <w:r>
        <w:rPr>
          <w:rFonts w:ascii="Arial" w:cs="Arial" w:eastAsia="Arial" w:hAnsi="Arial"/>
          <w:color w:val="1C1C1C"/>
          <w:sz w:val="22"/>
          <w:szCs w:val="22"/>
        </w:rPr>
        <w:t xml:space="preserve">SWOLLEN_BATTERY_RECYCLE: HARD_BLOCK. If notes field contains 'swollen' OR a future hardware integration flags battery_condition = SWOLLEN, the system bypasses AI entirely and sets recommended_action = RECYCLE with confidence = 100.</w:t>
      </w:r>
    </w:p>
    <w:p>
      <w:pPr>
        <w:spacing w:after="60" w:before="60"/>
      </w:pPr>
      <w:r>
        <w:rPr>
          <w:rFonts w:ascii="Arial" w:cs="Arial" w:eastAsia="Arial" w:hAnsi="Arial"/>
          <w:b/>
          <w:bCs/>
          <w:color w:val="1B4F8A"/>
          <w:sz w:val="22"/>
          <w:szCs w:val="22"/>
        </w:rPr>
        <w:t xml:space="preserve">Why Rules, Not AI: </w:t>
      </w:r>
      <w:r>
        <w:rPr>
          <w:rFonts w:ascii="Arial" w:cs="Arial" w:eastAsia="Arial" w:hAnsi="Arial"/>
          <w:color w:val="1C1C1C"/>
          <w:sz w:val="22"/>
          <w:szCs w:val="22"/>
        </w:rPr>
        <w:t xml:space="preserve">AI must never be in the decision path for safety-critical overrides. A hallucination or low-confidence AI response on a swollen battery device is an unacceptable risk.</w:t>
      </w:r>
    </w:p>
    <w:p>
      <w:pPr>
        <w:spacing w:after="0" w:before="160"/>
      </w:pPr>
      <w:r>
        <w:t xml:space="preserve"/>
      </w:r>
    </w:p>
    <w:p>
      <w:pPr>
        <w:pStyle w:val="Heading2"/>
        <w:spacing w:after="120" w:before="320"/>
      </w:pPr>
      <w:r>
        <w:rPr>
          <w:rFonts w:ascii="Arial" w:cs="Arial" w:eastAsia="Arial" w:hAnsi="Arial"/>
          <w:b/>
          <w:bCs/>
          <w:color w:val="2E86C1"/>
          <w:sz w:val="26"/>
          <w:szCs w:val="26"/>
        </w:rPr>
        <w:t xml:space="preserve">1.3 Device with No Market Data</w:t>
      </w:r>
    </w:p>
    <w:p>
      <w:pPr>
        <w:spacing w:after="80" w:before="80"/>
      </w:pPr>
      <w:r>
        <w:rPr>
          <w:rFonts w:ascii="Arial" w:cs="Arial" w:eastAsia="Arial" w:hAnsi="Arial"/>
          <w:color w:val="1C1C1C"/>
          <w:sz w:val="22"/>
          <w:szCs w:val="22"/>
        </w:rPr>
        <w:t xml:space="preserve">v1 requires operator to manually input market_ref_price. If a device model is uncommon and the operator inputs INR 0 or an implausible value:</w:t>
      </w:r>
    </w:p>
    <w:p>
      <w:pPr>
        <w:pStyle w:val="ListParagraph"/>
        <w:numPr>
          <w:ilvl w:val="0"/>
          <w:numId w:val="2"/>
        </w:numPr>
        <w:spacing w:after="40" w:before="40"/>
      </w:pPr>
      <w:r>
        <w:rPr>
          <w:rFonts w:ascii="Arial" w:cs="Arial" w:eastAsia="Arial" w:hAnsi="Arial"/>
          <w:color w:val="1C1C1C"/>
          <w:sz w:val="22"/>
          <w:szCs w:val="22"/>
        </w:rPr>
        <w:t xml:space="preserve">Valuation Service returns null for all recovery estimates</w:t>
      </w:r>
    </w:p>
    <w:p>
      <w:pPr>
        <w:pStyle w:val="ListParagraph"/>
        <w:numPr>
          <w:ilvl w:val="0"/>
          <w:numId w:val="2"/>
        </w:numPr>
        <w:spacing w:after="40" w:before="40"/>
      </w:pPr>
      <w:r>
        <w:rPr>
          <w:rFonts w:ascii="Arial" w:cs="Arial" w:eastAsia="Arial" w:hAnsi="Arial"/>
          <w:color w:val="1C1C1C"/>
          <w:sz w:val="22"/>
          <w:szCs w:val="22"/>
        </w:rPr>
        <w:t xml:space="preserve">AI receives a prompt note: 'Market reference price unavailable or unreliable'</w:t>
      </w:r>
    </w:p>
    <w:p>
      <w:pPr>
        <w:pStyle w:val="ListParagraph"/>
        <w:numPr>
          <w:ilvl w:val="0"/>
          <w:numId w:val="2"/>
        </w:numPr>
        <w:spacing w:after="40" w:before="40"/>
      </w:pPr>
      <w:r>
        <w:rPr>
          <w:rFonts w:ascii="Arial" w:cs="Arial" w:eastAsia="Arial" w:hAnsi="Arial"/>
          <w:color w:val="1C1C1C"/>
          <w:sz w:val="22"/>
          <w:szCs w:val="22"/>
        </w:rPr>
        <w:t xml:space="preserve">AI may still recommend a disposition path based on condition and functional data, but estimated_recovery will be null</w:t>
      </w:r>
    </w:p>
    <w:p>
      <w:pPr>
        <w:pStyle w:val="ListParagraph"/>
        <w:numPr>
          <w:ilvl w:val="0"/>
          <w:numId w:val="2"/>
        </w:numPr>
        <w:spacing w:after="40" w:before="40"/>
      </w:pPr>
      <w:r>
        <w:rPr>
          <w:rFonts w:ascii="Arial" w:cs="Arial" w:eastAsia="Arial" w:hAnsi="Arial"/>
          <w:color w:val="1C1C1C"/>
          <w:sz w:val="22"/>
          <w:szCs w:val="22"/>
        </w:rPr>
        <w:t xml:space="preserve">Confidence will be capped at 70 when market data is missing</w:t>
      </w:r>
    </w:p>
    <w:p>
      <w:pPr>
        <w:spacing w:after="0" w:before="160"/>
      </w:pPr>
      <w:r>
        <w:t xml:space="preserve"/>
      </w:r>
    </w:p>
    <w:p>
      <w:pPr>
        <w:pStyle w:val="Heading2"/>
        <w:spacing w:after="120" w:before="320"/>
      </w:pPr>
      <w:r>
        <w:rPr>
          <w:rFonts w:ascii="Arial" w:cs="Arial" w:eastAsia="Arial" w:hAnsi="Arial"/>
          <w:b/>
          <w:bCs/>
          <w:color w:val="2E86C1"/>
          <w:sz w:val="26"/>
          <w:szCs w:val="26"/>
        </w:rPr>
        <w:t xml:space="preserve">1.4 All-FAIL Functional Test</w:t>
      </w:r>
    </w:p>
    <w:p>
      <w:pPr>
        <w:spacing w:after="80" w:before="80"/>
      </w:pPr>
      <w:r>
        <w:rPr>
          <w:rFonts w:ascii="Arial" w:cs="Arial" w:eastAsia="Arial" w:hAnsi="Arial"/>
          <w:color w:val="1C1C1C"/>
          <w:sz w:val="22"/>
          <w:szCs w:val="22"/>
        </w:rPr>
        <w:t xml:space="preserve">A device that fails all functional test categories presents a near-certain PARTS or RECYCLE case. However:</w:t>
      </w:r>
    </w:p>
    <w:p>
      <w:pPr>
        <w:pStyle w:val="ListParagraph"/>
        <w:numPr>
          <w:ilvl w:val="0"/>
          <w:numId w:val="2"/>
        </w:numPr>
        <w:spacing w:after="40" w:before="40"/>
      </w:pPr>
      <w:r>
        <w:rPr>
          <w:rFonts w:ascii="Arial" w:cs="Arial" w:eastAsia="Arial" w:hAnsi="Arial"/>
          <w:color w:val="1C1C1C"/>
          <w:sz w:val="22"/>
          <w:szCs w:val="22"/>
        </w:rPr>
        <w:t xml:space="preserve">High-value flagship models (&gt;INR 60,000 market price) may still justify repair — the economics change</w:t>
      </w:r>
    </w:p>
    <w:p>
      <w:pPr>
        <w:pStyle w:val="ListParagraph"/>
        <w:numPr>
          <w:ilvl w:val="0"/>
          <w:numId w:val="2"/>
        </w:numPr>
        <w:spacing w:after="40" w:before="40"/>
      </w:pPr>
      <w:r>
        <w:rPr>
          <w:rFonts w:ascii="Arial" w:cs="Arial" w:eastAsia="Arial" w:hAnsi="Arial"/>
          <w:color w:val="1C1C1C"/>
          <w:sz w:val="22"/>
          <w:szCs w:val="22"/>
        </w:rPr>
        <w:t xml:space="preserve">The Rules Engine has a SOFT rule that adds context: 'High-value model with full functional failure — consider repair ROI calculation'</w:t>
      </w:r>
    </w:p>
    <w:p>
      <w:pPr>
        <w:pStyle w:val="ListParagraph"/>
        <w:numPr>
          <w:ilvl w:val="0"/>
          <w:numId w:val="2"/>
        </w:numPr>
        <w:spacing w:after="40" w:before="40"/>
      </w:pPr>
      <w:r>
        <w:rPr>
          <w:rFonts w:ascii="Arial" w:cs="Arial" w:eastAsia="Arial" w:hAnsi="Arial"/>
          <w:color w:val="1C1C1C"/>
          <w:sz w:val="22"/>
          <w:szCs w:val="22"/>
        </w:rPr>
        <w:t xml:space="preserve">AI receives this hint and factors it into its reasoning</w:t>
      </w:r>
    </w:p>
    <w:p>
      <w:pPr>
        <w:spacing w:after="0" w:before="160"/>
      </w:pPr>
      <w:r>
        <w:t xml:space="preserve"/>
      </w:r>
    </w:p>
    <w:p>
      <w:pPr>
        <w:pStyle w:val="Heading2"/>
        <w:spacing w:after="120" w:before="320"/>
      </w:pPr>
      <w:r>
        <w:rPr>
          <w:rFonts w:ascii="Arial" w:cs="Arial" w:eastAsia="Arial" w:hAnsi="Arial"/>
          <w:b/>
          <w:bCs/>
          <w:color w:val="2E86C1"/>
          <w:sz w:val="26"/>
          <w:szCs w:val="26"/>
        </w:rPr>
        <w:t xml:space="preserve">1.5 Operator Override Patterns</w:t>
      </w:r>
    </w:p>
    <w:p>
      <w:pPr>
        <w:spacing w:after="80" w:before="80"/>
      </w:pPr>
      <w:r>
        <w:rPr>
          <w:rFonts w:ascii="Arial" w:cs="Arial" w:eastAsia="Arial" w:hAnsi="Arial"/>
          <w:color w:val="1C1C1C"/>
          <w:sz w:val="22"/>
          <w:szCs w:val="22"/>
        </w:rPr>
        <w:t xml:space="preserve">If a single operator consistently overrides AI recommendations in a specific category (e.g. always changes REFURBISH to RESELL for iPhone models), this is a signal that either:</w:t>
      </w:r>
    </w:p>
    <w:p>
      <w:pPr>
        <w:pStyle w:val="ListParagraph"/>
        <w:numPr>
          <w:ilvl w:val="0"/>
          <w:numId w:val="2"/>
        </w:numPr>
        <w:spacing w:after="40" w:before="40"/>
      </w:pPr>
      <w:r>
        <w:rPr>
          <w:rFonts w:ascii="Arial" w:cs="Arial" w:eastAsia="Arial" w:hAnsi="Arial"/>
          <w:color w:val="1C1C1C"/>
          <w:sz w:val="22"/>
          <w:szCs w:val="22"/>
        </w:rPr>
        <w:t xml:space="preserve">The business rule for that condition is missing or wrong</w:t>
      </w:r>
    </w:p>
    <w:p>
      <w:pPr>
        <w:pStyle w:val="ListParagraph"/>
        <w:numPr>
          <w:ilvl w:val="0"/>
          <w:numId w:val="2"/>
        </w:numPr>
        <w:spacing w:after="40" w:before="40"/>
      </w:pPr>
      <w:r>
        <w:rPr>
          <w:rFonts w:ascii="Arial" w:cs="Arial" w:eastAsia="Arial" w:hAnsi="Arial"/>
          <w:color w:val="1C1C1C"/>
          <w:sz w:val="22"/>
          <w:szCs w:val="22"/>
        </w:rPr>
        <w:t xml:space="preserve">The operator has domain knowledge not captured in the rules</w:t>
      </w:r>
    </w:p>
    <w:p>
      <w:pPr>
        <w:pStyle w:val="ListParagraph"/>
        <w:numPr>
          <w:ilvl w:val="0"/>
          <w:numId w:val="2"/>
        </w:numPr>
        <w:spacing w:after="40" w:before="40"/>
      </w:pPr>
      <w:r>
        <w:rPr>
          <w:rFonts w:ascii="Arial" w:cs="Arial" w:eastAsia="Arial" w:hAnsi="Arial"/>
          <w:color w:val="1C1C1C"/>
          <w:sz w:val="22"/>
          <w:szCs w:val="22"/>
        </w:rPr>
        <w:t xml:space="preserve">The operator is making errors</w:t>
      </w:r>
    </w:p>
    <w:p>
      <w:pPr>
        <w:spacing w:after="80" w:before="80"/>
      </w:pPr>
      <w:r>
        <w:rPr>
          <w:rFonts w:ascii="Arial" w:cs="Arial" w:eastAsia="Arial" w:hAnsi="Arial"/>
          <w:color w:val="1C1C1C"/>
          <w:sz w:val="22"/>
          <w:szCs w:val="22"/>
        </w:rPr>
        <w:t xml:space="preserve">Analytics Service override-rate report tracks this by operator and decision type. This is a feedback mechanism, not an automated correction.</w:t>
      </w:r>
    </w:p>
    <w:p>
      <w:pPr>
        <w:spacing w:after="0" w:before="160"/>
      </w:pPr>
      <w:r>
        <w:t xml:space="preserve"/>
      </w:r>
    </w:p>
    <w:p>
      <w:pPr>
        <w:pStyle w:val="Heading1"/>
        <w:spacing w:after="120" w:before="320"/>
      </w:pPr>
      <w:r>
        <w:rPr>
          <w:rFonts w:ascii="Arial" w:cs="Arial" w:eastAsia="Arial" w:hAnsi="Arial"/>
          <w:b/>
          <w:bCs/>
          <w:color w:val="1B4F8A"/>
          <w:sz w:val="32"/>
          <w:szCs w:val="32"/>
        </w:rPr>
        <w:t xml:space="preserve">2. Known Limitations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800"/>
        <w:gridCol w:w="2800"/>
        <w:gridCol w:w="3220"/>
      </w:tblGrid>
      <w:tr>
        <w:trPr>
          <w:tblHeader/>
        </w:trPr>
        <w:tc>
          <w:tcPr>
            <w:tcW w:type="dxa" w:w="54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w:t>
            </w:r>
          </w:p>
        </w:tc>
        <w:tc>
          <w:tcPr>
            <w:tcW w:type="dxa" w:w="28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Limitation</w:t>
            </w:r>
          </w:p>
        </w:tc>
        <w:tc>
          <w:tcPr>
            <w:tcW w:type="dxa" w:w="28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Business Impact</w:t>
            </w:r>
          </w:p>
        </w:tc>
        <w:tc>
          <w:tcPr>
            <w:tcW w:type="dxa" w:w="322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Planned Resolution</w:t>
            </w:r>
          </w:p>
        </w:tc>
      </w:tr>
      <w:tr>
        <w:tc>
          <w:tcPr>
            <w:tcW w:type="dxa" w:w="54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1C1C"/>
                <w:sz w:val="20"/>
                <w:szCs w:val="20"/>
              </w:rPr>
              <w:t xml:space="preserve">L-01</w:t>
            </w:r>
          </w:p>
        </w:tc>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1C1C"/>
                <w:sz w:val="20"/>
                <w:szCs w:val="20"/>
              </w:rPr>
              <w:t xml:space="preserve">Market price data is manually entered, not live</w:t>
            </w:r>
          </w:p>
        </w:tc>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1C1C"/>
                <w:sz w:val="20"/>
                <w:szCs w:val="20"/>
              </w:rPr>
              <w:t xml:space="preserve">Suboptimal recovery if prices change daily</w:t>
            </w:r>
          </w:p>
        </w:tc>
        <w:tc>
          <w:tcPr>
            <w:tcW w:type="dxa" w:w="322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1C1C"/>
                <w:sz w:val="20"/>
                <w:szCs w:val="20"/>
              </w:rPr>
              <w:t xml:space="preserve">v2: scheduled scraper from Cashify, OLX, eBay India APIs</w:t>
            </w:r>
          </w:p>
        </w:tc>
      </w:tr>
      <w:tr>
        <w:tc>
          <w:tcPr>
            <w:tcW w:type="dxa" w:w="54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color w:val="1C1C1C"/>
                <w:sz w:val="20"/>
                <w:szCs w:val="20"/>
              </w:rPr>
              <w:t xml:space="preserve">L-02</w:t>
            </w:r>
          </w:p>
        </w:tc>
        <w:tc>
          <w:tcPr>
            <w:tcW w:type="dxa" w:w="28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color w:val="1C1C1C"/>
                <w:sz w:val="20"/>
                <w:szCs w:val="20"/>
              </w:rPr>
              <w:t xml:space="preserve">No feedback learning loop — AI does not improve from outcomes</w:t>
            </w:r>
          </w:p>
        </w:tc>
        <w:tc>
          <w:tcPr>
            <w:tcW w:type="dxa" w:w="28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color w:val="1C1C1C"/>
                <w:sz w:val="20"/>
                <w:szCs w:val="20"/>
              </w:rPr>
              <w:t xml:space="preserve">System does not self-correct over time</w:t>
            </w:r>
          </w:p>
        </w:tc>
        <w:tc>
          <w:tcPr>
            <w:tcW w:type="dxa" w:w="322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color w:val="1C1C1C"/>
                <w:sz w:val="20"/>
                <w:szCs w:val="20"/>
              </w:rPr>
              <w:t xml:space="preserve">v3: supervised fine-tuning or RL on outcome data</w:t>
            </w:r>
          </w:p>
        </w:tc>
      </w:tr>
      <w:tr>
        <w:tc>
          <w:tcPr>
            <w:tcW w:type="dxa" w:w="54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1C1C"/>
                <w:sz w:val="20"/>
                <w:szCs w:val="20"/>
              </w:rPr>
              <w:t xml:space="preserve">L-03</w:t>
            </w:r>
          </w:p>
        </w:tc>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1C1C"/>
                <w:sz w:val="20"/>
                <w:szCs w:val="20"/>
              </w:rPr>
              <w:t xml:space="preserve">No direct WMS or ERP integration — device data entered manually or via CSV</w:t>
            </w:r>
          </w:p>
        </w:tc>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1C1C"/>
                <w:sz w:val="20"/>
                <w:szCs w:val="20"/>
              </w:rPr>
              <w:t xml:space="preserve">Double-entry, potential inconsistency</w:t>
            </w:r>
          </w:p>
        </w:tc>
        <w:tc>
          <w:tcPr>
            <w:tcW w:type="dxa" w:w="322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1C1C"/>
                <w:sz w:val="20"/>
                <w:szCs w:val="20"/>
              </w:rPr>
              <w:t xml:space="preserve">v2: REST/webhook integration with common WMS</w:t>
            </w:r>
          </w:p>
        </w:tc>
      </w:tr>
      <w:tr>
        <w:tc>
          <w:tcPr>
            <w:tcW w:type="dxa" w:w="54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color w:val="1C1C1C"/>
                <w:sz w:val="20"/>
                <w:szCs w:val="20"/>
              </w:rPr>
              <w:t xml:space="preserve">L-04</w:t>
            </w:r>
          </w:p>
        </w:tc>
        <w:tc>
          <w:tcPr>
            <w:tcW w:type="dxa" w:w="28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color w:val="1C1C1C"/>
                <w:sz w:val="20"/>
                <w:szCs w:val="20"/>
              </w:rPr>
              <w:t xml:space="preserve">No photo/visual condition assessment</w:t>
            </w:r>
          </w:p>
        </w:tc>
        <w:tc>
          <w:tcPr>
            <w:tcW w:type="dxa" w:w="28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color w:val="1C1C1C"/>
                <w:sz w:val="20"/>
                <w:szCs w:val="20"/>
              </w:rPr>
              <w:t xml:space="preserve">Cosmetic grade relies on operator judgment</w:t>
            </w:r>
          </w:p>
        </w:tc>
        <w:tc>
          <w:tcPr>
            <w:tcW w:type="dxa" w:w="322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color w:val="1C1C1C"/>
                <w:sz w:val="20"/>
                <w:szCs w:val="20"/>
              </w:rPr>
              <w:t xml:space="preserve">v2: CV model for automated cosmetic grading from photos</w:t>
            </w:r>
          </w:p>
        </w:tc>
      </w:tr>
      <w:tr>
        <w:tc>
          <w:tcPr>
            <w:tcW w:type="dxa" w:w="54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1C1C"/>
                <w:sz w:val="20"/>
                <w:szCs w:val="20"/>
              </w:rPr>
              <w:t xml:space="preserve">L-05</w:t>
            </w:r>
          </w:p>
        </w:tc>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1C1C"/>
                <w:sz w:val="20"/>
                <w:szCs w:val="20"/>
              </w:rPr>
              <w:t xml:space="preserve">Single-region deployment — no multi-warehouse support</w:t>
            </w:r>
          </w:p>
        </w:tc>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1C1C"/>
                <w:sz w:val="20"/>
                <w:szCs w:val="20"/>
              </w:rPr>
              <w:t xml:space="preserve">Cannot serve multi-site operations</w:t>
            </w:r>
          </w:p>
        </w:tc>
        <w:tc>
          <w:tcPr>
            <w:tcW w:type="dxa" w:w="322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1C1C"/>
                <w:sz w:val="20"/>
                <w:szCs w:val="20"/>
              </w:rPr>
              <w:t xml:space="preserve">v2: tenant-aware data model</w:t>
            </w:r>
          </w:p>
        </w:tc>
      </w:tr>
      <w:tr>
        <w:tc>
          <w:tcPr>
            <w:tcW w:type="dxa" w:w="54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color w:val="1C1C1C"/>
                <w:sz w:val="20"/>
                <w:szCs w:val="20"/>
              </w:rPr>
              <w:t xml:space="preserve">L-06</w:t>
            </w:r>
          </w:p>
        </w:tc>
        <w:tc>
          <w:tcPr>
            <w:tcW w:type="dxa" w:w="28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color w:val="1C1C1C"/>
                <w:sz w:val="20"/>
                <w:szCs w:val="20"/>
              </w:rPr>
              <w:t xml:space="preserve">Rules engine conditions are JSON-only — no scripting</w:t>
            </w:r>
          </w:p>
        </w:tc>
        <w:tc>
          <w:tcPr>
            <w:tcW w:type="dxa" w:w="28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color w:val="1C1C1C"/>
                <w:sz w:val="20"/>
                <w:szCs w:val="20"/>
              </w:rPr>
              <w:t xml:space="preserve">Complex logic requires multiple rules</w:t>
            </w:r>
          </w:p>
        </w:tc>
        <w:tc>
          <w:tcPr>
            <w:tcW w:type="dxa" w:w="322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color w:val="1C1C1C"/>
                <w:sz w:val="20"/>
                <w:szCs w:val="20"/>
              </w:rPr>
              <w:t xml:space="preserve">v2: JSONLogic or CEL (Common Expression Language) support</w:t>
            </w:r>
          </w:p>
        </w:tc>
      </w:tr>
      <w:tr>
        <w:tc>
          <w:tcPr>
            <w:tcW w:type="dxa" w:w="54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1C1C"/>
                <w:sz w:val="20"/>
                <w:szCs w:val="20"/>
              </w:rPr>
              <w:t xml:space="preserve">L-07</w:t>
            </w:r>
          </w:p>
        </w:tc>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1C1C"/>
                <w:sz w:val="20"/>
                <w:szCs w:val="20"/>
              </w:rPr>
              <w:t xml:space="preserve">LLM temperature = 0 ensures consistency but reduces creativity</w:t>
            </w:r>
          </w:p>
        </w:tc>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1C1C"/>
                <w:sz w:val="20"/>
                <w:szCs w:val="20"/>
              </w:rPr>
              <w:t xml:space="preserve">May miss novel disposition paths</w:t>
            </w:r>
          </w:p>
        </w:tc>
        <w:tc>
          <w:tcPr>
            <w:tcW w:type="dxa" w:w="322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1C1C"/>
                <w:sz w:val="20"/>
                <w:szCs w:val="20"/>
              </w:rPr>
              <w:t xml:space="preserve">Acceptable tradeoff for v1 — consistency over creativity in production decisions</w:t>
            </w:r>
          </w:p>
        </w:tc>
      </w:tr>
    </w:tbl>
    <w:p>
      <w:pPr>
        <w:spacing w:after="0" w:before="160"/>
      </w:pPr>
      <w:r>
        <w:t xml:space="preserve"/>
      </w:r>
    </w:p>
    <w:p>
      <w:pPr>
        <w:pStyle w:val="Heading1"/>
        <w:spacing w:after="120" w:before="320"/>
      </w:pPr>
      <w:r>
        <w:rPr>
          <w:rFonts w:ascii="Arial" w:cs="Arial" w:eastAsia="Arial" w:hAnsi="Arial"/>
          <w:b/>
          <w:bCs/>
          <w:color w:val="1B4F8A"/>
          <w:sz w:val="32"/>
          <w:szCs w:val="32"/>
        </w:rPr>
        <w:t xml:space="preserve">3. Key Architectural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Decision</w:t>
            </w:r>
          </w:p>
        </w:tc>
        <w:tc>
          <w:tcPr>
            <w:tcW w:type="dxa" w:w="18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What We Chose</w:t>
            </w:r>
          </w:p>
        </w:tc>
        <w:tc>
          <w:tcPr>
            <w:tcW w:type="dxa" w:w="2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What We Gave Up</w:t>
            </w:r>
          </w:p>
        </w:tc>
        <w:tc>
          <w:tcPr>
            <w:tcW w:type="dxa" w:w="35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Why This Is Right for v1</w:t>
            </w:r>
          </w:p>
        </w:tc>
      </w:tr>
      <w:tr>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1C1C"/>
                <w:sz w:val="20"/>
                <w:szCs w:val="20"/>
              </w:rPr>
              <w:t xml:space="preserve">AI vs Pure Rules</w:t>
            </w:r>
          </w:p>
        </w:tc>
        <w:tc>
          <w:tcPr>
            <w:tcW w:type="dxa" w:w="18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1C1C"/>
                <w:sz w:val="20"/>
                <w:szCs w:val="20"/>
              </w:rPr>
              <w:t xml:space="preserve">AI + Rules hybrid</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1C1C"/>
                <w:sz w:val="20"/>
                <w:szCs w:val="20"/>
              </w:rPr>
              <w:t xml:space="preserve">Simpler rules-only system</w:t>
            </w:r>
          </w:p>
        </w:tc>
        <w:tc>
          <w:tcPr>
            <w:tcW w:type="dxa" w:w="35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1C1C"/>
                <w:sz w:val="20"/>
                <w:szCs w:val="20"/>
              </w:rPr>
              <w:t xml:space="preserve">Rules alone cannot handle the combinatorial complexity of device disposition at scale</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color w:val="1C1C1C"/>
                <w:sz w:val="20"/>
                <w:szCs w:val="20"/>
              </w:rPr>
              <w:t xml:space="preserve">Sync vs Async Decision</w:t>
            </w:r>
          </w:p>
        </w:tc>
        <w:tc>
          <w:tcPr>
            <w:tcW w:type="dxa" w:w="18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color w:val="1C1C1C"/>
                <w:sz w:val="20"/>
                <w:szCs w:val="20"/>
              </w:rPr>
              <w:t xml:space="preserve">Async event-driven</w:t>
            </w:r>
          </w:p>
        </w:tc>
        <w:tc>
          <w:tcPr>
            <w:tcW w:type="dxa" w:w="20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color w:val="1C1C1C"/>
                <w:sz w:val="20"/>
                <w:szCs w:val="20"/>
              </w:rPr>
              <w:t xml:space="preserve">Simpler synchronous request-response</w:t>
            </w:r>
          </w:p>
        </w:tc>
        <w:tc>
          <w:tcPr>
            <w:tcW w:type="dxa" w:w="35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color w:val="1C1C1C"/>
                <w:sz w:val="20"/>
                <w:szCs w:val="20"/>
              </w:rPr>
              <w:t xml:space="preserve">Async decouples intake throughput from AI latency — operators can continue processing while AI thinks</w:t>
            </w:r>
          </w:p>
        </w:tc>
      </w:tr>
      <w:tr>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1C1C"/>
                <w:sz w:val="20"/>
                <w:szCs w:val="20"/>
              </w:rPr>
              <w:t xml:space="preserve">Single DB vs Polyglot</w:t>
            </w:r>
          </w:p>
        </w:tc>
        <w:tc>
          <w:tcPr>
            <w:tcW w:type="dxa" w:w="18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1C1C"/>
                <w:sz w:val="20"/>
                <w:szCs w:val="20"/>
              </w:rPr>
              <w:t xml:space="preserve">PostgreSQL only</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1C1C"/>
                <w:sz w:val="20"/>
                <w:szCs w:val="20"/>
              </w:rPr>
              <w:t xml:space="preserve">MongoDB for rules/reasoning, Redis for cache</w:t>
            </w:r>
          </w:p>
        </w:tc>
        <w:tc>
          <w:tcPr>
            <w:tcW w:type="dxa" w:w="35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1C1C"/>
                <w:sz w:val="20"/>
                <w:szCs w:val="20"/>
              </w:rPr>
              <w:t xml:space="preserve">Operational simplicity in v1 outweighs marginal performance gains of specialised stores</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color w:val="1C1C1C"/>
                <w:sz w:val="20"/>
                <w:szCs w:val="20"/>
              </w:rPr>
              <w:t xml:space="preserve">Auto-execute vs Human-in-Loop</w:t>
            </w:r>
          </w:p>
        </w:tc>
        <w:tc>
          <w:tcPr>
            <w:tcW w:type="dxa" w:w="18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color w:val="1C1C1C"/>
                <w:sz w:val="20"/>
                <w:szCs w:val="20"/>
              </w:rPr>
              <w:t xml:space="preserve">Human confirms every decision</w:t>
            </w:r>
          </w:p>
        </w:tc>
        <w:tc>
          <w:tcPr>
            <w:tcW w:type="dxa" w:w="20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color w:val="1C1C1C"/>
                <w:sz w:val="20"/>
                <w:szCs w:val="20"/>
              </w:rPr>
              <w:t xml:space="preserve">Full automation, faster throughput</w:t>
            </w:r>
          </w:p>
        </w:tc>
        <w:tc>
          <w:tcPr>
            <w:tcW w:type="dxa" w:w="35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color w:val="1C1C1C"/>
                <w:sz w:val="20"/>
                <w:szCs w:val="20"/>
              </w:rPr>
              <w:t xml:space="preserve">Trust must be earned before automation. Override rate tracking enables data-driven automation in v2</w:t>
            </w:r>
          </w:p>
        </w:tc>
      </w:tr>
      <w:tr>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1C1C"/>
                <w:sz w:val="20"/>
                <w:szCs w:val="20"/>
              </w:rPr>
              <w:t xml:space="preserve">Cloud LLM vs Local Model</w:t>
            </w:r>
          </w:p>
        </w:tc>
        <w:tc>
          <w:tcPr>
            <w:tcW w:type="dxa" w:w="18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1C1C"/>
                <w:sz w:val="20"/>
                <w:szCs w:val="20"/>
              </w:rPr>
              <w:t xml:space="preserve">Anthropic API (cloud)</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1C1C"/>
                <w:sz w:val="20"/>
                <w:szCs w:val="20"/>
              </w:rPr>
              <w:t xml:space="preserve">Privacy, lower latency, no per-call cost</w:t>
            </w:r>
          </w:p>
        </w:tc>
        <w:tc>
          <w:tcPr>
            <w:tcW w:type="dxa" w:w="35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1C1C"/>
                <w:sz w:val="20"/>
                <w:szCs w:val="20"/>
              </w:rPr>
              <w:t xml:space="preserve">Quality gap between cloud SOTA and local models is too large for v1. Data privacy addressed by not sending PII to LLM</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color w:val="1C1C1C"/>
                <w:sz w:val="20"/>
                <w:szCs w:val="20"/>
              </w:rPr>
              <w:t xml:space="preserve">Fine-tuned model vs Zero-shot</w:t>
            </w:r>
          </w:p>
        </w:tc>
        <w:tc>
          <w:tcPr>
            <w:tcW w:type="dxa" w:w="18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color w:val="1C1C1C"/>
                <w:sz w:val="20"/>
                <w:szCs w:val="20"/>
              </w:rPr>
              <w:t xml:space="preserve">Zero-shot prompting with examples</w:t>
            </w:r>
          </w:p>
        </w:tc>
        <w:tc>
          <w:tcPr>
            <w:tcW w:type="dxa" w:w="20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color w:val="1C1C1C"/>
                <w:sz w:val="20"/>
                <w:szCs w:val="20"/>
              </w:rPr>
              <w:t xml:space="preserve">Higher accuracy from fine-tuning</w:t>
            </w:r>
          </w:p>
        </w:tc>
        <w:tc>
          <w:tcPr>
            <w:tcW w:type="dxa" w:w="35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color w:val="1C1C1C"/>
                <w:sz w:val="20"/>
                <w:szCs w:val="20"/>
              </w:rPr>
              <w:t xml:space="preserve">No labelled training data yet. Zero-shot + few-shot gets us to v1. Fine-tuning requires outcome data we don't have yet</w:t>
            </w:r>
          </w:p>
        </w:tc>
      </w:tr>
    </w:tbl>
    <w:p>
      <w:pPr>
        <w:spacing w:after="0" w:before="160"/>
      </w:pPr>
      <w:r>
        <w:t xml:space="preserve"/>
      </w:r>
    </w:p>
    <w:p>
      <w:pPr>
        <w:pStyle w:val="Heading1"/>
        <w:spacing w:after="120" w:before="320"/>
      </w:pPr>
      <w:r>
        <w:rPr>
          <w:rFonts w:ascii="Arial" w:cs="Arial" w:eastAsia="Arial" w:hAnsi="Arial"/>
          <w:b/>
          <w:bCs/>
          <w:color w:val="1B4F8A"/>
          <w:sz w:val="32"/>
          <w:szCs w:val="32"/>
        </w:rPr>
        <w:t xml:space="preserve">4. What "Good" Looks Like vs What We Have</w:t>
      </w:r>
    </w:p>
    <w:p>
      <w:pPr>
        <w:spacing w:after="80" w:before="80"/>
      </w:pPr>
      <w:r>
        <w:rPr>
          <w:rFonts w:ascii="Arial" w:cs="Arial" w:eastAsia="Arial" w:hAnsi="Arial"/>
          <w:color w:val="1C1C1C"/>
          <w:sz w:val="22"/>
          <w:szCs w:val="22"/>
        </w:rPr>
        <w:t xml:space="preserve">A mature version of this system would include:</w:t>
      </w:r>
    </w:p>
    <w:p>
      <w:pPr>
        <w:pStyle w:val="ListParagraph"/>
        <w:numPr>
          <w:ilvl w:val="0"/>
          <w:numId w:val="2"/>
        </w:numPr>
        <w:spacing w:after="40" w:before="40"/>
      </w:pPr>
      <w:r>
        <w:rPr>
          <w:rFonts w:ascii="Arial" w:cs="Arial" w:eastAsia="Arial" w:hAnsi="Arial"/>
          <w:color w:val="1C1C1C"/>
          <w:sz w:val="22"/>
          <w:szCs w:val="22"/>
        </w:rPr>
        <w:t xml:space="preserve">Reinforcement learning from actual outcomes — the model improves as it processes more devices</w:t>
      </w:r>
    </w:p>
    <w:p>
      <w:pPr>
        <w:pStyle w:val="ListParagraph"/>
        <w:numPr>
          <w:ilvl w:val="0"/>
          <w:numId w:val="2"/>
        </w:numPr>
        <w:spacing w:after="40" w:before="40"/>
      </w:pPr>
      <w:r>
        <w:rPr>
          <w:rFonts w:ascii="Arial" w:cs="Arial" w:eastAsia="Arial" w:hAnsi="Arial"/>
          <w:color w:val="1C1C1C"/>
          <w:sz w:val="22"/>
          <w:szCs w:val="22"/>
        </w:rPr>
        <w:t xml:space="preserve">Computer vision for automated cosmetic grading from intake photos</w:t>
      </w:r>
    </w:p>
    <w:p>
      <w:pPr>
        <w:pStyle w:val="ListParagraph"/>
        <w:numPr>
          <w:ilvl w:val="0"/>
          <w:numId w:val="2"/>
        </w:numPr>
        <w:spacing w:after="40" w:before="40"/>
      </w:pPr>
      <w:r>
        <w:rPr>
          <w:rFonts w:ascii="Arial" w:cs="Arial" w:eastAsia="Arial" w:hAnsi="Arial"/>
          <w:color w:val="1C1C1C"/>
          <w:sz w:val="22"/>
          <w:szCs w:val="22"/>
        </w:rPr>
        <w:t xml:space="preserve">Real-time marketplace pricing via API integration</w:t>
      </w:r>
    </w:p>
    <w:p>
      <w:pPr>
        <w:pStyle w:val="ListParagraph"/>
        <w:numPr>
          <w:ilvl w:val="0"/>
          <w:numId w:val="2"/>
        </w:numPr>
        <w:spacing w:after="40" w:before="40"/>
      </w:pPr>
      <w:r>
        <w:rPr>
          <w:rFonts w:ascii="Arial" w:cs="Arial" w:eastAsia="Arial" w:hAnsi="Arial"/>
          <w:color w:val="1C1C1C"/>
          <w:sz w:val="22"/>
          <w:szCs w:val="22"/>
        </w:rPr>
        <w:t xml:space="preserve">Multi-tenant architecture supporting multiple warehouses / clients</w:t>
      </w:r>
    </w:p>
    <w:p>
      <w:pPr>
        <w:pStyle w:val="ListParagraph"/>
        <w:numPr>
          <w:ilvl w:val="0"/>
          <w:numId w:val="2"/>
        </w:numPr>
        <w:spacing w:after="40" w:before="40"/>
      </w:pPr>
      <w:r>
        <w:rPr>
          <w:rFonts w:ascii="Arial" w:cs="Arial" w:eastAsia="Arial" w:hAnsi="Arial"/>
          <w:color w:val="1C1C1C"/>
          <w:sz w:val="22"/>
          <w:szCs w:val="22"/>
        </w:rPr>
        <w:t xml:space="preserve">Automated execution of low-risk, high-confidence decisions without operator confirmation</w:t>
      </w:r>
    </w:p>
    <w:p>
      <w:pPr>
        <w:pStyle w:val="ListParagraph"/>
        <w:numPr>
          <w:ilvl w:val="0"/>
          <w:numId w:val="2"/>
        </w:numPr>
        <w:spacing w:after="40" w:before="40"/>
      </w:pPr>
      <w:r>
        <w:rPr>
          <w:rFonts w:ascii="Arial" w:cs="Arial" w:eastAsia="Arial" w:hAnsi="Arial"/>
          <w:color w:val="1C1C1C"/>
          <w:sz w:val="22"/>
          <w:szCs w:val="22"/>
        </w:rPr>
        <w:t xml:space="preserve">A/B testing framework to compare rule changes and prompt variants on live traffic</w:t>
      </w:r>
    </w:p>
    <w:p>
      <w:pPr>
        <w:spacing w:after="0" w:before="80"/>
      </w:pPr>
      <w:r>
        <w:t xml:space="preserve"/>
      </w:r>
    </w:p>
    <w:p>
      <w:pPr>
        <w:spacing w:after="80" w:before="80"/>
      </w:pPr>
      <w:r>
        <w:rPr>
          <w:rFonts w:ascii="Arial" w:cs="Arial" w:eastAsia="Arial" w:hAnsi="Arial"/>
          <w:color w:val="1C1C1C"/>
          <w:sz w:val="22"/>
          <w:szCs w:val="22"/>
        </w:rPr>
        <w:t xml:space="preserve">v1 deliberately defers all of the above. This is not a weakness — it is a scoping decision. The value of v1 is in proving the decision quality and operator trust before investing in automation infrastructure.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r>
      <w:rPr>
        <w:rFonts w:ascii="Arial" w:cs="Arial" w:eastAsia="Arial" w:hAnsi="Arial"/>
        <w:color w:val="7F8C8D"/>
        <w:sz w:val="16"/>
        <w:szCs w:val="16"/>
      </w:rPr>
      <w:t xml:space="preserve"> of </w:t>
    </w:r>
    <w:r>
      <w:rPr>
        <w:rFonts w:ascii="Arial" w:cs="Arial" w:eastAsia="Arial" w:hAnsi="Arial"/>
        <w:color w:val="7F8C8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7F8C8D"/>
        <w:sz w:val="16"/>
        <w:szCs w:val="16"/>
      </w:rPr>
      <w:t xml:space="preserve">ReturnBrain — Edge Cases, Limitations &amp; Tradeoffs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4F8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86C1"/>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C1C1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2026-06-09T09:15:17.769Z</dcterms:created>
  <dcterms:modified xsi:type="dcterms:W3CDTF">2026-06-09T09:15:17.769Z</dcterms:modified>
</cp:coreProperties>
</file>

<file path=docProps/custom.xml><?xml version="1.0" encoding="utf-8"?>
<Properties xmlns="http://schemas.openxmlformats.org/officeDocument/2006/custom-properties" xmlns:vt="http://schemas.openxmlformats.org/officeDocument/2006/docPropsVTypes"/>
</file>