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Dive</w:t>
      </w:r>
    </w:p>
    <w:p/>
    <w:p>
      <w:pPr>
        <w:pStyle w:val="Quote"/>
      </w:pPr>
      <w:r>
        <w:t>Quebra a contribuição agregada de um veículo de mídia em sub-canais</w:t>
      </w:r>
    </w:p>
    <w:p>
      <w:pPr>
        <w:pStyle w:val="Quote"/>
      </w:pPr>
      <w:r>
        <w:t>usando modelos Deep Dive Raven com âncoras e priors calibrados.</w:t>
      </w:r>
    </w:p>
    <w:p/>
    <w:p/>
    <w:p/>
    <w:p>
      <w:pPr>
        <w:pStyle w:val="Heading2"/>
      </w:pPr>
      <w:r>
        <w:t>Contexto do Projeto</w:t>
      </w:r>
    </w:p>
    <w:p/>
    <w:p>
      <w:r>
        <w:t xml:space="preserve">Um MMM (Raven / Stan / Meridian) produz a contribuição total do veículo </w:t>
      </w:r>
      <w:r>
        <w:rPr>
          <w:rFonts w:ascii="Courier New" w:hAnsi="Courier New"/>
          <w:sz w:val="20"/>
        </w:rPr>
        <w:t>C_t</w:t>
      </w:r>
      <w:r>
        <w:t>. O Deep Dive responde a pergunta:</w:t>
      </w:r>
    </w:p>
    <w:p>
      <w:pPr>
        <w:pStyle w:val="Quote"/>
      </w:pPr>
      <w:r>
        <w:t>**"Quanto dessa contribuição veio de cada ambiente / praça / formato?"**</w:t>
      </w:r>
    </w:p>
    <w:p/>
    <w:p>
      <w:r>
        <w:t>Para isso, ajusta um modelo Deep Dive Raven por dimensão de quebra, com dois tipos de restrição simultânea:</w:t>
      </w:r>
    </w:p>
    <w:p/>
    <w:p>
      <w:pPr>
        <w:pStyle w:val="ListBullet"/>
      </w:pPr>
      <w:r/>
      <w:r>
        <w:rPr>
          <w:b/>
        </w:rPr>
        <w:t>Âncora de proxy</w:t>
      </w:r>
      <w:r>
        <w:t>: soma das contribuições estimadas ≈ `C_t` (CoupledExactLikelihood, tolerância ±15%)</w:t>
      </w:r>
    </w:p>
    <w:p>
      <w:pPr>
        <w:pStyle w:val="ListBullet"/>
      </w:pPr>
      <w:r/>
      <w:r>
        <w:rPr>
          <w:b/>
        </w:rPr>
        <w:t>Prior de share</w:t>
      </w:r>
      <w:r>
        <w:t>: shares de contribuição ≈ shares de investimento (ContributionShareLikelihood, softened via `share_prior_scale`)</w:t>
      </w:r>
    </w:p>
    <w:p/>
    <w:p>
      <w:r>
        <w:t>Os parâmetros Hill resultantes permitem calcular ROAS index e curvas de saturação por sub-canal.</w:t>
      </w:r>
    </w:p>
    <w:p/>
    <w:p/>
    <w:p/>
    <w:p>
      <w:pPr>
        <w:pStyle w:val="Heading2"/>
      </w:pPr>
      <w:r>
        <w:t>Estrutura do Repositório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deepdive/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├── src/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config.py                 # DeepDiveConfig + build_config() — parse YAML + UpgradeResult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extraction.py             # load_upgrade_auto() — Stan, Meridian, Raven via MLflow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diagnostics.py            # run_diagnostics() — filtra variáveis, cria __outros__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pipeline.py               # run_deep_dive() — orquestrador Deep Dive Raven por dimensão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plots.py                  # Plotly dark theme + analyze_deepdive/analyze_batch/analyze_trees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report.py                 # generate_report() — CSVs + HTMLs por cliente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batch.py                  # run_deep_dive_batch() + consolidate_results() — multi-cliente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synthetic_data.py         # generate_synthetic_dim() — validação semi-sintética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contrib_share_likelihood.py  # ContributionShareLikelihood — efeito prophetverse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└── raven_patch.py            # Raven subclass + CosineScheduleAdamWOptimizer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├── tests/                        # Testes unitários e de integração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├── configs/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clients_registry.yaml     # Cadastro de clientes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bradesco_eletro.yaml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hypera_eletro.yaml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└── opella_eletro.yaml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├── data/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└── vehicle_specs.yaml        # Hierarquias, slugs e rollups por veículo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├── notebooks/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deep_dive_eletro.ipynb         # Pipeline single-client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├── deep_dive_batch.ipynb          # Pipeline multi-cliente + meta-análise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└── validacao_prior_auxiliar.ipynb # Benchmark metodológico: prior auxiliar de medição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├── benchmarks/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│   └── share_recovery_benchmark.py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└── outputs/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├── {cliente}/                # CSVs + HTMLs por cliente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└── batch/                    # meta_analysis.csv + sunbursts</w:t>
      </w:r>
    </w:p>
    <w:p/>
    <w:p/>
    <w:p/>
    <w:p/>
    <w:p>
      <w:pPr>
        <w:pStyle w:val="Heading2"/>
      </w:pPr>
      <w:r>
        <w:t>Problemas Resolvidos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392"/>
          </w:tcPr>
          <w:p>
            <w:r>
              <w:rPr>
                <w:b/>
              </w:rPr>
              <w:t>Solução</w:t>
            </w:r>
          </w:p>
        </w:tc>
      </w:tr>
      <w:tr>
        <w:tc>
          <w:tcPr>
            <w:tcW w:type="dxa" w:w="4392"/>
          </w:tcPr>
          <w:p>
            <w:r>
              <w:t>Modelos por dimensão sem âncora comum → shares inconsistentes</w:t>
            </w:r>
          </w:p>
        </w:tc>
        <w:tc>
          <w:tcPr>
            <w:tcW w:type="dxa" w:w="4392"/>
          </w:tcPr>
          <w:p>
            <w:r>
              <w:t>Proxy exact likelihood fixa soma em `C_t` por modelo</w:t>
            </w:r>
          </w:p>
        </w:tc>
      </w:tr>
      <w:tr>
        <w:tc>
          <w:tcPr>
            <w:tcW w:type="dxa" w:w="4392"/>
          </w:tcPr>
          <w:p>
            <w:r>
              <w:t>Colunas correlacionadas por falta de sinal → divergência</w:t>
            </w:r>
          </w:p>
        </w:tc>
        <w:tc>
          <w:tcPr>
            <w:tcW w:type="dxa" w:w="4392"/>
          </w:tcPr>
          <w:p>
            <w:r>
              <w:t>`run_diagnostics()` buketiza vars com &lt;2% de spend em `__outros__`</w:t>
            </w:r>
          </w:p>
        </w:tc>
      </w:tr>
      <w:tr>
        <w:tc>
          <w:tcPr>
            <w:tcW w:type="dxa" w:w="4392"/>
          </w:tcPr>
          <w:p>
            <w:r>
              <w:t>Análise manual por cliente, sem visão cross-client</w:t>
            </w:r>
          </w:p>
        </w:tc>
        <w:tc>
          <w:tcPr>
            <w:tcW w:type="dxa" w:w="4392"/>
          </w:tcPr>
          <w:p>
            <w:r>
              <w:t>`run_deep_dive_batch()` + `consolidate_results()` + `analyze_batch()`</w:t>
            </w:r>
          </w:p>
        </w:tc>
      </w:tr>
      <w:tr>
        <w:tc>
          <w:tcPr>
            <w:tcW w:type="dxa" w:w="4392"/>
          </w:tcPr>
          <w:p>
            <w:r>
              <w:t>Visualização hierárquica inexistente</w:t>
            </w:r>
          </w:p>
        </w:tc>
        <w:tc>
          <w:tcPr>
            <w:tcW w:type="dxa" w:w="4392"/>
          </w:tcPr>
          <w:p>
            <w:r>
              <w:t>`analyze_trees()` gera sunburst/treemap/icicle por dimensão, genérico por veículo</w:t>
            </w:r>
          </w:p>
        </w:tc>
      </w:tr>
    </w:tbl>
    <w:p/>
    <w:p/>
    <w:p/>
    <w:p>
      <w:pPr>
        <w:pStyle w:val="Heading2"/>
      </w:pPr>
      <w:r>
        <w:t>Melhorias Implementadas</w:t>
      </w:r>
    </w:p>
    <w:p/>
    <w:p>
      <w:pPr>
        <w:pStyle w:val="Heading3"/>
      </w:pPr>
      <w:r>
        <w:t>Arquitetura Modular</w:t>
      </w:r>
    </w:p>
    <w:p/>
    <w:p>
      <w:r>
        <w:t xml:space="preserve">Cada notebook chama funções importadas de </w:t>
      </w:r>
      <w:r>
        <w:rPr>
          <w:rFonts w:ascii="Courier New" w:hAnsi="Courier New"/>
          <w:sz w:val="20"/>
        </w:rPr>
        <w:t>src/</w:t>
      </w:r>
      <w:r>
        <w:t>. Dez módulos com responsabilidades separadas (config, extração, diagnósticos, pipeline, plots, report, batch, dados sintéticos, efeito CSL, patch Raven).</w:t>
      </w:r>
    </w:p>
    <w:p/>
    <w:p>
      <w:pPr>
        <w:pStyle w:val="Heading3"/>
      </w:pPr>
      <w:r>
        <w:t>Dataclasses Tipadas</w:t>
      </w:r>
    </w:p>
    <w:p/>
    <w:p>
      <w:r/>
      <w:r>
        <w:rPr>
          <w:rFonts w:ascii="Courier New" w:hAnsi="Courier New"/>
          <w:sz w:val="20"/>
        </w:rPr>
        <w:t>DeepDiveConfig</w:t>
      </w:r>
      <w:r>
        <w:t xml:space="preserve">, </w:t>
      </w:r>
      <w:r>
        <w:rPr>
          <w:rFonts w:ascii="Courier New" w:hAnsi="Courier New"/>
          <w:sz w:val="20"/>
        </w:rPr>
        <w:t>UpgradeResult</w:t>
      </w:r>
      <w:r>
        <w:t xml:space="preserve">, </w:t>
      </w:r>
      <w:r>
        <w:rPr>
          <w:rFonts w:ascii="Courier New" w:hAnsi="Courier New"/>
          <w:sz w:val="20"/>
        </w:rPr>
        <w:t>DiagnosisResult</w:t>
      </w:r>
      <w:r>
        <w:t xml:space="preserve">, </w:t>
      </w:r>
      <w:r>
        <w:rPr>
          <w:rFonts w:ascii="Courier New" w:hAnsi="Courier New"/>
          <w:sz w:val="20"/>
        </w:rPr>
        <w:t>DDResult</w:t>
      </w:r>
      <w:r>
        <w:t xml:space="preserve"> — sem dicts volantes.</w:t>
      </w:r>
    </w:p>
    <w:p/>
    <w:p>
      <w:pPr>
        <w:pStyle w:val="Heading3"/>
      </w:pPr>
      <w:r>
        <w:t>Diagnósticos Pré-Fit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run_diagnostics(config, upgrade)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→ DiagnosisResult.spend_report   # HHI, % spend, semanas ativas por variável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→ DiagnosisResult.bucketed        # {dim: {var → __outros__}}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→ DiagnosisResult.skipped_dims    # dims sem variáveis após filtro</w:t>
      </w:r>
    </w:p>
    <w:p/>
    <w:p/>
    <w:p>
      <w:r>
        <w:t xml:space="preserve">Limiares padrão: </w:t>
      </w:r>
      <w:r>
        <w:rPr>
          <w:rFonts w:ascii="Courier New" w:hAnsi="Courier New"/>
          <w:sz w:val="20"/>
        </w:rPr>
        <w:t>min_share=0.02</w:t>
      </w:r>
      <w:r>
        <w:t xml:space="preserve">, </w:t>
      </w:r>
      <w:r>
        <w:rPr>
          <w:rFonts w:ascii="Courier New" w:hAnsi="Courier New"/>
          <w:sz w:val="20"/>
        </w:rPr>
        <w:t>min_active_weeks=4</w:t>
      </w:r>
      <w:r>
        <w:t xml:space="preserve">. Variáveis abaixo são agrupadas em </w:t>
      </w:r>
      <w:r>
        <w:rPr>
          <w:rFonts w:ascii="Courier New" w:hAnsi="Courier New"/>
          <w:sz w:val="20"/>
        </w:rPr>
        <w:t>__outros__ambiente</w:t>
      </w:r>
      <w:r>
        <w:t xml:space="preserve">, </w:t>
      </w:r>
      <w:r>
        <w:rPr>
          <w:rFonts w:ascii="Courier New" w:hAnsi="Courier New"/>
          <w:sz w:val="20"/>
        </w:rPr>
        <w:t>__outros__praca</w:t>
      </w:r>
      <w:r>
        <w:t>, etc.</w:t>
      </w:r>
    </w:p>
    <w:p/>
    <w:p>
      <w:pPr>
        <w:pStyle w:val="Heading3"/>
      </w:pPr>
      <w:r>
        <w:t>Rollup Genérico via YAML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# vehicle_specs.yaml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breakdowns: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Ambiente: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rollups: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- level: grupo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groups: grupos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members_key: ambientes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- level: vertical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groups: grupos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members_key: ambientes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attr: vertical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- level: tipo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groups: grupos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members_key: ambientes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attr: tipo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Praca: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rollups: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- level: estado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map: praca_to_estado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- level: praca       # identity rollup</w:t>
      </w:r>
    </w:p>
    <w:p/>
    <w:p/>
    <w:p>
      <w:r>
        <w:t>Para adicionar um novo veículo com hierarquia diferente, só alterar o YAML — sem mudança de código Python.</w:t>
      </w:r>
    </w:p>
    <w:p/>
    <w:p>
      <w:pPr>
        <w:pStyle w:val="Heading3"/>
      </w:pPr>
      <w:r>
        <w:t>Validação Semi-Sintética</w:t>
      </w:r>
    </w:p>
    <w:p/>
    <w:p>
      <w:r/>
      <w:r>
        <w:rPr>
          <w:rFonts w:ascii="Courier New" w:hAnsi="Courier New"/>
          <w:sz w:val="20"/>
        </w:rPr>
        <w:t>synthetic_data.py</w:t>
      </w:r>
      <w:r>
        <w:t xml:space="preserve"> gera dados com parâmetros Hill conhecidos, permitindo validar recuperação de shares antes de rodar dados reais. O benchmark varia </w:t>
      </w:r>
      <w:r>
        <w:rPr>
          <w:rFonts w:ascii="Courier New" w:hAnsi="Courier New"/>
          <w:sz w:val="20"/>
        </w:rPr>
        <w:t>share_prior_scale</w:t>
      </w:r>
      <w:r>
        <w:t xml:space="preserve"> e qualidade da medição auxiliar (</w:t>
      </w:r>
      <w:r>
        <w:rPr>
          <w:rFonts w:ascii="Courier New" w:hAnsi="Courier New"/>
          <w:sz w:val="20"/>
        </w:rPr>
        <w:t>σ_meas</w:t>
      </w:r>
      <w:r>
        <w:t>).</w:t>
      </w:r>
    </w:p>
    <w:p/>
    <w:p>
      <w:pPr>
        <w:pStyle w:val="Heading3"/>
      </w:pPr>
      <w:r>
        <w:t>Tema Visual Uncover</w:t>
      </w:r>
    </w:p>
    <w:p/>
    <w:p>
      <w:r/>
      <w:r>
        <w:rPr>
          <w:rFonts w:ascii="Courier New" w:hAnsi="Courier New"/>
          <w:sz w:val="20"/>
        </w:rPr>
        <w:t>UNCOVER_DARK_TEMPLATE</w:t>
      </w:r>
      <w:r>
        <w:t xml:space="preserve"> (fundo </w:t>
      </w:r>
      <w:r>
        <w:rPr>
          <w:rFonts w:ascii="Courier New" w:hAnsi="Courier New"/>
          <w:sz w:val="20"/>
        </w:rPr>
        <w:t>#141414</w:t>
      </w:r>
      <w:r>
        <w:t xml:space="preserve">, papel </w:t>
      </w:r>
      <w:r>
        <w:rPr>
          <w:rFonts w:ascii="Courier New" w:hAnsi="Courier New"/>
          <w:sz w:val="20"/>
        </w:rPr>
        <w:t>#1E1E1E</w:t>
      </w:r>
      <w:r>
        <w:t xml:space="preserve">, fonte </w:t>
      </w:r>
      <w:r>
        <w:rPr>
          <w:rFonts w:ascii="Courier New" w:hAnsi="Courier New"/>
          <w:sz w:val="20"/>
        </w:rPr>
        <w:t>#E0E0E0</w:t>
      </w:r>
      <w:r>
        <w:t>) aplicado por default. Paleta de 8 cores consistente em todos os plots.</w:t>
      </w:r>
    </w:p>
    <w:p/>
    <w:p/>
    <w:p/>
    <w:p>
      <w:pPr>
        <w:pStyle w:val="Heading2"/>
      </w:pPr>
      <w:r>
        <w:t>Hipóteses e Fundamentação Metodológica</w:t>
      </w:r>
    </w:p>
    <w:p/>
    <w:p>
      <w:pPr>
        <w:pStyle w:val="Heading3"/>
      </w:pPr>
      <w:r>
        <w:t>H1 — Prior Auxiliar Melhora Recuperação de Shares ✅</w:t>
      </w:r>
    </w:p>
    <w:p/>
    <w:p>
      <w:r>
        <w:t xml:space="preserve">Notebook de teste: </w:t>
      </w:r>
      <w:r>
        <w:rPr>
          <w:rFonts w:ascii="Courier New" w:hAnsi="Courier New"/>
          <w:sz w:val="20"/>
        </w:rPr>
        <w:t>validacao_prior_auxiliar.ipynb</w:t>
      </w:r>
      <w:r>
        <w:t xml:space="preserve">: Benchmark sintético com 40 cenários (K=4 sub-canais, T=52 semanas, </w:t>
      </w:r>
      <w:r>
        <w:rPr>
          <w:rFonts w:ascii="Courier New" w:hAnsi="Courier New"/>
          <w:sz w:val="20"/>
        </w:rPr>
        <w:t>share_prior_scale</w:t>
      </w:r>
      <w:r>
        <w:t xml:space="preserve"> ∈ {0.001, 0.005, 0.01, 0.05}, </w:t>
      </w:r>
      <w:r>
        <w:rPr>
          <w:rFonts w:ascii="Courier New" w:hAnsi="Courier New"/>
          <w:sz w:val="20"/>
        </w:rPr>
        <w:t>σ_meas</w:t>
      </w:r>
      <w:r>
        <w:t xml:space="preserve"> ∈ {0, 0.05, 0.1, 0.2}):</w:t>
      </w:r>
    </w:p>
    <w:p/>
    <w:p>
      <w:pPr>
        <w:pStyle w:val="ListBullet"/>
      </w:pPr>
      <w:r>
        <w:t>Sem prior auxiliar (baseline spend): MAE ≈ 0.05–0.07 (`scale=0.005`)</w:t>
      </w:r>
    </w:p>
    <w:p>
      <w:pPr>
        <w:pStyle w:val="ListBullet"/>
      </w:pPr>
      <w:r>
        <w:t>Com brand study perfeito (`σ_meas=0`): MAE ≈ 0.03 → menor variância e estimativas mais concentradas</w:t>
      </w:r>
    </w:p>
    <w:p>
      <w:pPr>
        <w:pStyle w:val="ListBullet"/>
      </w:pPr>
      <w:r>
        <w:t>Ponto ótimo prático (`σ_meas=0.1`, `scale=0.005`): MAE ≈ 0.04</w:t>
      </w:r>
    </w:p>
    <w:p/>
    <w:p>
      <w:r>
        <w:t xml:space="preserve">Conclusão: prior auxiliar consistentemente reduz MAE, especialmente quando </w:t>
      </w:r>
      <w:r>
        <w:rPr>
          <w:rFonts w:ascii="Courier New" w:hAnsi="Courier New"/>
          <w:sz w:val="20"/>
        </w:rPr>
        <w:t>σ_meas ≤ 0.10</w:t>
      </w:r>
      <w:r>
        <w:t xml:space="preserve">. Ver </w:t>
      </w:r>
      <w:r>
        <w:rPr>
          <w:rFonts w:ascii="Courier New" w:hAnsi="Courier New"/>
          <w:sz w:val="20"/>
        </w:rPr>
        <w:t>outputs/benchmark_share_recovery.csv</w:t>
      </w:r>
      <w:r>
        <w:t xml:space="preserve"> para resultados completos por cenário.</w:t>
      </w:r>
    </w:p>
    <w:p/>
    <w:p>
      <w:pPr>
        <w:pStyle w:val="Heading3"/>
      </w:pPr>
      <w:r>
        <w:t>H2 — Normalização do Proxy por `max(y)` Evita Explosão de Gradiente</w:t>
      </w:r>
    </w:p>
    <w:p/>
    <w:p>
      <w:r>
        <w:t xml:space="preserve">O modelo Deep Dive Raven combina saídas Hill (escala [0, 1]) com a âncora de proxy (escala absoluta, ex: R$ 10M). Sem normalização, o proxy domina o gradiente e o otimizador diverge. A normalização </w:t>
      </w:r>
      <w:r>
        <w:rPr>
          <w:rFonts w:ascii="Courier New" w:hAnsi="Courier New"/>
          <w:sz w:val="20"/>
        </w:rPr>
        <w:t>X_proxy = C_t / max(C_t)</w:t>
      </w:r>
      <w:r>
        <w:t xml:space="preserve"> coloca o proxy na mesma escala dos inputs Hill.</w:t>
      </w:r>
    </w:p>
    <w:p/>
    <w:p>
      <w:pPr>
        <w:pStyle w:val="Heading3"/>
      </w:pPr>
      <w:r>
        <w:t>H3 — CSL com Escala por Canal Evita Tuning Manual</w:t>
      </w:r>
    </w:p>
    <w:p/>
    <w:p>
      <w:r>
        <w:t>A escala do prior CSL é calibrada por canal como: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proxy_scale_v = tolerance × mean(C_t_v≠0) / max(C_t) / (max(C_t_v) / max(C_t))</w:t>
      </w:r>
    </w:p>
    <w:p/>
    <w:p/>
    <w:p>
      <w:r>
        <w:t>Isso garante que variáveis com contribuições maiores tenham prior mais rígido — sem exigir ajuste manual por cliente.</w:t>
      </w:r>
    </w:p>
    <w:p/>
    <w:p/>
    <w:p/>
    <w:p>
      <w:pPr>
        <w:pStyle w:val="Heading2"/>
      </w:pPr>
      <w:r>
        <w:t>Premissas para o Deep Dive Funcionar</w:t>
      </w:r>
    </w:p>
    <w:p/>
    <w:p>
      <w:r>
        <w:t xml:space="preserve">1. </w:t>
      </w:r>
      <w:r>
        <w:rPr>
          <w:b/>
        </w:rPr>
        <w:t>`C_t` é verdade</w:t>
      </w:r>
      <w:r>
        <w:t>: a contribuição total do veículo calculada pelo MMM original é tratada como âncora fixa. Erros no modelo base propagam para o Deep Dive.</w:t>
      </w:r>
    </w:p>
    <w:p/>
    <w:p>
      <w:r>
        <w:t xml:space="preserve">2. </w:t>
      </w:r>
      <w:r>
        <w:rPr>
          <w:b/>
        </w:rPr>
        <w:t>Spend disponível por sub-canal na granularidade da quebra</w:t>
      </w:r>
      <w:r>
        <w:t xml:space="preserve">: </w:t>
      </w:r>
      <w:r>
        <w:rPr>
          <w:rFonts w:ascii="Courier New" w:hAnsi="Courier New"/>
          <w:sz w:val="20"/>
        </w:rPr>
        <w:t>load_breakdown_spend()</w:t>
      </w:r>
      <w:r>
        <w:t xml:space="preserve"> precisa encontrar as colunas com slugs correspondentes às variáveis de cada dimensão. Se o dado de spend não existir, a dimensão é pulada.</w:t>
      </w:r>
    </w:p>
    <w:p/>
    <w:p>
      <w:r>
        <w:t xml:space="preserve">3. </w:t>
      </w:r>
      <w:r>
        <w:rPr>
          <w:b/>
        </w:rPr>
        <w:t>Modelo base convergiu</w:t>
      </w:r>
      <w:r>
        <w:t xml:space="preserve">: proxy_ratio deve ficar entre 0.85–1.15 para confiar nos shares. Fora desse intervalo, revisar </w:t>
      </w:r>
      <w:r>
        <w:rPr>
          <w:rFonts w:ascii="Courier New" w:hAnsi="Courier New"/>
          <w:sz w:val="20"/>
        </w:rPr>
        <w:t>proxy_ct_tolerance</w:t>
      </w:r>
      <w:r>
        <w:t xml:space="preserve"> ou a qualidade de </w:t>
      </w:r>
      <w:r>
        <w:rPr>
          <w:rFonts w:ascii="Courier New" w:hAnsi="Courier New"/>
          <w:sz w:val="20"/>
        </w:rPr>
        <w:t>C_t</w:t>
      </w:r>
      <w:r>
        <w:t>.</w:t>
      </w:r>
    </w:p>
    <w:p/>
    <w:p>
      <w:r>
        <w:t xml:space="preserve">4. </w:t>
      </w:r>
      <w:r>
        <w:rPr>
          <w:b/>
        </w:rPr>
        <w:t>Frequência semanal</w:t>
      </w:r>
      <w:r>
        <w:t>: todos os índices são normalizados para W-MON (semana terminada na segunda-feira). Séries diárias ou mensais não são suportadas nativamente.</w:t>
      </w:r>
    </w:p>
    <w:p/>
    <w:p>
      <w:r>
        <w:t xml:space="preserve">5. </w:t>
      </w:r>
      <w:r>
        <w:rPr>
          <w:b/>
        </w:rPr>
        <w:t>Hill é adequado para a relação spend→contribuição</w:t>
      </w:r>
      <w:r>
        <w:t>: assume saturação monotônica crescente. Formas em U ou com threshold precisariam de modificação na arquitetura.</w:t>
      </w:r>
    </w:p>
    <w:p/>
    <w:p>
      <w:r>
        <w:t xml:space="preserve">6. </w:t>
      </w:r>
      <w:r>
        <w:rPr>
          <w:b/>
        </w:rPr>
        <w:t>`share_prior_scale` deve ser calibrado por veículo</w:t>
      </w:r>
      <w:r>
        <w:t>: o default 0.05 é conservador (prior fraco). Para veículos com dados de brand study confiáveis, reduzir para 0.005–0.01.</w:t>
      </w:r>
    </w:p>
    <w:p/>
    <w:p>
      <w:r>
        <w:t xml:space="preserve">7. </w:t>
      </w:r>
      <w:r>
        <w:rPr>
          <w:b/>
        </w:rPr>
        <w:t>Variáveis com &lt;2% de spend são descartadas ou agrupadas</w:t>
      </w:r>
      <w:r>
        <w:t xml:space="preserve">: se um sub-canal muito pequeno for crítico para análise, aumentar </w:t>
      </w:r>
      <w:r>
        <w:rPr>
          <w:rFonts w:ascii="Courier New" w:hAnsi="Courier New"/>
          <w:sz w:val="20"/>
        </w:rPr>
        <w:t>min_share</w:t>
      </w:r>
      <w:r>
        <w:t xml:space="preserve"> em </w:t>
      </w:r>
      <w:r>
        <w:rPr>
          <w:rFonts w:ascii="Courier New" w:hAnsi="Courier New"/>
          <w:sz w:val="20"/>
        </w:rPr>
        <w:t>run_diagnostics()</w:t>
      </w:r>
      <w:r>
        <w:t xml:space="preserve"> ou removê-lo do filtro.</w:t>
      </w:r>
    </w:p>
    <w:p/>
    <w:p/>
    <w:p/>
    <w:p>
      <w:pPr>
        <w:pStyle w:val="Heading2"/>
      </w:pPr>
      <w:r>
        <w:t>Escolhas Metodológicas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Alternativa Considerada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Motivo da Escolha</w:t>
            </w:r>
          </w:p>
        </w:tc>
      </w:tr>
      <w:tr>
        <w:tc>
          <w:tcPr>
            <w:tcW w:type="dxa" w:w="2928"/>
          </w:tcPr>
          <w:p>
            <w:r>
              <w:t>Proxy exact (tolerância ±15%)</w:t>
            </w:r>
          </w:p>
        </w:tc>
        <w:tc>
          <w:tcPr>
            <w:tcW w:type="dxa" w:w="2928"/>
          </w:tcPr>
          <w:p>
            <w:r>
              <w:t>Proxy proporcional (escala livre)</w:t>
            </w:r>
          </w:p>
        </w:tc>
        <w:tc>
          <w:tcPr>
            <w:tcW w:type="dxa" w:w="2928"/>
          </w:tcPr>
          <w:p>
            <w:r>
              <w:t>Proporcional tem fator de escala não identificado → pode tornar shares arbitrárias</w:t>
            </w:r>
          </w:p>
        </w:tc>
      </w:tr>
      <w:tr>
        <w:tc>
          <w:tcPr>
            <w:tcW w:type="dxa" w:w="2928"/>
          </w:tcPr>
          <w:p>
            <w:r>
              <w:t>CSL em espaço de shares (Normal)</w:t>
            </w:r>
          </w:p>
        </w:tc>
        <w:tc>
          <w:tcPr>
            <w:tcW w:type="dxa" w:w="2928"/>
          </w:tcPr>
          <w:p>
            <w:r>
              <w:t>Log-ratio</w:t>
            </w:r>
          </w:p>
        </w:tc>
        <w:tc>
          <w:tcPr>
            <w:tcW w:type="dxa" w:w="2928"/>
          </w:tcPr>
          <w:p>
            <w:r>
              <w:t>Normal evita singularidades em share=0</w:t>
            </w:r>
          </w:p>
        </w:tc>
      </w:tr>
      <w:tr>
        <w:tc>
          <w:tcPr>
            <w:tcW w:type="dxa" w:w="2928"/>
          </w:tcPr>
          <w:p>
            <w:r>
              <w:t>MAP com CosineScheduleAdamW</w:t>
            </w:r>
          </w:p>
        </w:tc>
        <w:tc>
          <w:tcPr>
            <w:tcW w:type="dxa" w:w="2928"/>
          </w:tcPr>
          <w:p>
            <w:r>
              <w:t>Adam (lr fixo)</w:t>
            </w:r>
          </w:p>
        </w:tc>
        <w:tc>
          <w:tcPr>
            <w:tcW w:type="dxa" w:w="2928"/>
          </w:tcPr>
          <w:p>
            <w:r>
              <w:t>Weight decay regulariza `max_effect` e evita explosão em canais com pouco spend; cosine decay estabiliza convergência na fase final sem tuning manual de lr</w:t>
            </w:r>
          </w:p>
        </w:tc>
      </w:tr>
      <w:tr>
        <w:tc>
          <w:tcPr>
            <w:tcW w:type="dxa" w:w="2928"/>
          </w:tcPr>
          <w:p>
            <w:r>
              <w:t>PiecewiseLinearTrend no Deep Dive Raven</w:t>
            </w:r>
          </w:p>
        </w:tc>
        <w:tc>
          <w:tcPr>
            <w:tcW w:type="dxa" w:w="2928"/>
          </w:tcPr>
          <w:p>
            <w:r>
              <w:t>FlatTrend</w:t>
            </w:r>
          </w:p>
        </w:tc>
        <w:tc>
          <w:tcPr>
            <w:tcW w:type="dxa" w:w="2928"/>
          </w:tcPr>
          <w:p>
            <w:r>
              <w:t>Sub-canais podem ter dinâmicas independentes; piecewise detecta breakpoints locais</w:t>
            </w:r>
          </w:p>
        </w:tc>
      </w:tr>
      <w:tr>
        <w:tc>
          <w:tcPr>
            <w:tcW w:type="dxa" w:w="2928"/>
          </w:tcPr>
          <w:p>
            <w:r>
              <w:t>Rollups declarativos em YAML</w:t>
            </w:r>
          </w:p>
        </w:tc>
        <w:tc>
          <w:tcPr>
            <w:tcW w:type="dxa" w:w="2928"/>
          </w:tcPr>
          <w:p>
            <w:r>
              <w:t>Código Python por veículo</w:t>
            </w:r>
          </w:p>
        </w:tc>
        <w:tc>
          <w:tcPr>
            <w:tcW w:type="dxa" w:w="2928"/>
          </w:tcPr>
          <w:p>
            <w:r>
              <w:t>Extensível sem mudança de código; YAML novos por veículo e clietes são suficientes</w:t>
            </w:r>
          </w:p>
        </w:tc>
      </w:tr>
    </w:tbl>
    <w:p/>
    <w:p/>
    <w:p/>
    <w:p>
      <w:pPr>
        <w:pStyle w:val="Heading2"/>
      </w:pPr>
      <w:r>
        <w:t>Fluxo de Execução do Teste - Exemplos</w:t>
      </w:r>
    </w:p>
    <w:p/>
    <w:p>
      <w:pPr>
        <w:pStyle w:val="Heading3"/>
      </w:pPr>
      <w:r>
        <w:t>Single-Client (`deep_dive_eletro.ipynb`)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upgrade   = load_upgrade_stan(run_id, tracking_uri=mlflow_uri)  # ou load_meridian_upgrade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config    = build_config(upgrade, specs_path="configs/bradesco_eletro.yaml")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config, _ = run_diagnostics(config, upgrade)   # filtra variáveis, cria __outros__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result    = run_deep_dive(config, upgrade)      # Deep Dive Raven por dimensão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_         = analyze_deepdive(result)           # tabelas ASCII + plots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        generate_report(result, output_dir)</w:t>
      </w:r>
    </w:p>
    <w:p/>
    <w:p/>
    <w:p>
      <w:pPr>
        <w:pStyle w:val="Heading3"/>
      </w:pPr>
      <w:r>
        <w:t>Multi-Client (`deep_dive_batch.ipynb`)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all_results, diags, errors = run_deep_dive_batch("configs/clients_registry.yaml")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df_meta   = consolidate_results(all_results, vehicle_spec_override=vehicle_spec)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batch_figs = analyze_batch(all_results, df_meta, vehicle_spec_override=vehicle_spec)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tree_figs  = analyze_trees(all_results, vehicle_spec_override=vehicle_spec)</w:t>
      </w:r>
    </w:p>
    <w:p/>
    <w:p/>
    <w:p/>
    <w:p/>
    <w:p>
      <w:pPr>
        <w:pStyle w:val="Heading2"/>
      </w:pPr>
      <w:r>
        <w:t>Configuração de um Novo Cliente</w:t>
      </w:r>
    </w:p>
    <w:p/>
    <w:p>
      <w:pPr>
        <w:pStyle w:val="Heading3"/>
      </w:pPr>
      <w:r>
        <w:t>1. Criar YAML do cliente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# configs/novo_cliente_eletro.yaml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brand: nome-da-marca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vehicle: eletromidia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vehicle_specs_path: ../data/vehicle_specs.yaml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mlflow_tracking_uri: https://mlflow-dev.cloud.uncover.co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upgrade_run_id: &lt;run_id_do_mmm&gt;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workspace_dd: &lt;workspace_mlflow&gt;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start_date: 2022-01-03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end_date: 2025-12-29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media_var: $metric:investments$vehicle:eletromidia$category:brand:nome-da-marca</w:t>
      </w:r>
    </w:p>
    <w:p/>
    <w:p/>
    <w:p>
      <w:pPr>
        <w:pStyle w:val="Heading3"/>
      </w:pPr>
      <w:r>
        <w:t>2. Registrar no registry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# configs/clients_registry.yaml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clients: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novo_cliente: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specs_path: novo_cliente_eletro.yaml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model_type: stan   # ou meridian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 xml:space="preserve">    output_subdir: novo_cliente</w:t>
      </w:r>
    </w:p>
    <w:p/>
    <w:p/>
    <w:p>
      <w:pPr>
        <w:pStyle w:val="Heading3"/>
      </w:pPr>
      <w:r>
        <w:t>3. Para um novo veículo (não-Eletromídia)</w:t>
      </w:r>
    </w:p>
    <w:p/>
    <w:p>
      <w:r>
        <w:t xml:space="preserve">Adicionar entrada em </w:t>
      </w:r>
      <w:r>
        <w:rPr>
          <w:rFonts w:ascii="Courier New" w:hAnsi="Courier New"/>
          <w:sz w:val="20"/>
        </w:rPr>
        <w:t>data/vehicle_specs.yaml</w:t>
      </w:r>
      <w:r>
        <w:t xml:space="preserve"> com </w:t>
      </w:r>
      <w:r>
        <w:rPr>
          <w:rFonts w:ascii="Courier New" w:hAnsi="Courier New"/>
          <w:sz w:val="20"/>
        </w:rPr>
        <w:t>breakdowns</w:t>
      </w:r>
      <w:r>
        <w:t xml:space="preserve">, </w:t>
      </w:r>
      <w:r>
        <w:rPr>
          <w:rFonts w:ascii="Courier New" w:hAnsi="Courier New"/>
          <w:sz w:val="20"/>
        </w:rPr>
        <w:t>hierarchy</w:t>
      </w:r>
      <w:r>
        <w:t xml:space="preserve"> e </w:t>
      </w:r>
      <w:r>
        <w:rPr>
          <w:rFonts w:ascii="Courier New" w:hAnsi="Courier New"/>
          <w:sz w:val="20"/>
        </w:rPr>
        <w:t>rollups</w:t>
      </w:r>
      <w:r>
        <w:t>. O código Python não precisa de alteração.</w:t>
      </w:r>
    </w:p>
    <w:p/>
    <w:p/>
    <w:p/>
    <w:p>
      <w:pPr>
        <w:pStyle w:val="Heading2"/>
      </w:pPr>
      <w:r>
        <w:t>Entregáveis</w:t>
      </w:r>
    </w:p>
    <w:p/>
    <w:p>
      <w:pPr>
        <w:pStyle w:val="Heading3"/>
      </w:pPr>
      <w:r>
        <w:t>Por Cliente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392"/>
          </w:tcPr>
          <w:p>
            <w:r>
              <w:t>`outputs/{cliente}/{cliente}_shares_e1.csv`</w:t>
            </w:r>
          </w:p>
        </w:tc>
        <w:tc>
          <w:tcPr>
            <w:tcW w:type="dxa" w:w="4392"/>
          </w:tcPr>
          <w:p>
            <w:r>
              <w:t>dim, item, contrib_share, spend_share, proxy_ratio, csl_max_dev</w:t>
            </w:r>
          </w:p>
        </w:tc>
      </w:tr>
      <w:tr>
        <w:tc>
          <w:tcPr>
            <w:tcW w:type="dxa" w:w="4392"/>
          </w:tcPr>
          <w:p>
            <w:r>
              <w:t>`outputs/{cliente}/{cliente}_roas_index.csv`</w:t>
            </w:r>
          </w:p>
        </w:tc>
        <w:tc>
          <w:tcPr>
            <w:tcW w:type="dxa" w:w="4392"/>
          </w:tcPr>
          <w:p>
            <w:r>
              <w:t>dim, item, roas_index (contrib_share / spend_share)</w:t>
            </w:r>
          </w:p>
        </w:tc>
      </w:tr>
      <w:tr>
        <w:tc>
          <w:tcPr>
            <w:tcW w:type="dxa" w:w="4392"/>
          </w:tcPr>
          <w:p>
            <w:r>
              <w:t>`outputs/{cliente}/{cliente}_contributions.html`</w:t>
            </w:r>
          </w:p>
        </w:tc>
        <w:tc>
          <w:tcPr>
            <w:tcW w:type="dxa" w:w="4392"/>
          </w:tcPr>
          <w:p>
            <w:r>
              <w:t>Barra agrupada: share de contribuição vs. share de spend</w:t>
            </w:r>
          </w:p>
        </w:tc>
      </w:tr>
      <w:tr>
        <w:tc>
          <w:tcPr>
            <w:tcW w:type="dxa" w:w="4392"/>
          </w:tcPr>
          <w:p>
            <w:r>
              <w:t>`outputs/{cliente}/{cliente}_roas_index.html`</w:t>
            </w:r>
          </w:p>
        </w:tc>
        <w:tc>
          <w:tcPr>
            <w:tcW w:type="dxa" w:w="4392"/>
          </w:tcPr>
          <w:p>
            <w:r>
              <w:t>Heatmap ROAS index por dimensão × sub-canal</w:t>
            </w:r>
          </w:p>
        </w:tc>
      </w:tr>
    </w:tbl>
    <w:p/>
    <w:p>
      <w:pPr>
        <w:pStyle w:val="Heading3"/>
      </w:pPr>
      <w:r>
        <w:t>Batch (Multi-Cliente)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392"/>
          </w:tcPr>
          <w:p>
            <w:r>
              <w:t>`outputs/batch/meta_analysis.csv`</w:t>
            </w:r>
          </w:p>
        </w:tc>
        <w:tc>
          <w:tcPr>
            <w:tcW w:type="dxa" w:w="4392"/>
          </w:tcPr>
          <w:p>
            <w:r>
              <w:t>Long-form: cliente, dim, rollup, item, share_model, share_spend, roas_index</w:t>
            </w:r>
          </w:p>
        </w:tc>
      </w:tr>
      <w:tr>
        <w:tc>
          <w:tcPr>
            <w:tcW w:type="dxa" w:w="4392"/>
          </w:tcPr>
          <w:p>
            <w:r>
              <w:t>`outputs/batch/report_{Dim}.html`</w:t>
            </w:r>
          </w:p>
        </w:tc>
        <w:tc>
          <w:tcPr>
            <w:tcW w:type="dxa" w:w="4392"/>
          </w:tcPr>
          <w:p>
            <w:r>
              <w:t>Tabelas comparativas + sunburst por dimensão</w:t>
            </w:r>
          </w:p>
        </w:tc>
      </w:tr>
    </w:tbl>
    <w:p/>
    <w:p>
      <w:pPr>
        <w:pStyle w:val="Heading3"/>
      </w:pPr>
      <w:r>
        <w:t>Benchmark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392"/>
          </w:tcPr>
          <w:p>
            <w:r>
              <w:t>`outputs/benchmark_share_recovery.csv`</w:t>
            </w:r>
          </w:p>
        </w:tc>
        <w:tc>
          <w:tcPr>
            <w:tcW w:type="dxa" w:w="4392"/>
          </w:tcPr>
          <w:p>
            <w:r>
              <w:t>scale, scenario (baseline / s=0.05 / ...), seed, mae, rmse, max_err, proxy_ratio</w:t>
            </w:r>
          </w:p>
        </w:tc>
      </w:tr>
    </w:tbl>
    <w:p/>
    <w:p/>
    <w:p/>
    <w:p>
      <w:pPr>
        <w:pStyle w:val="Heading2"/>
      </w:pPr>
      <w:r>
        <w:t>Testes</w:t>
      </w:r>
    </w:p>
    <w:p/>
    <w:p>
      <w:pPr>
        <w:pStyle w:val="NoSpacing"/>
      </w:pPr>
      <w:r>
        <w:rPr>
          <w:rFonts w:ascii="Courier New" w:hAnsi="Courier New"/>
          <w:color w:val="333333"/>
          <w:sz w:val="18"/>
        </w:rPr>
        <w:t># Testes rápidos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pytest deepdive/tests/ -v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# Incluir teste de integração (MAP 500 steps, ~2min)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pytest deepdive/tests/ -v -m slow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# Benchmark completo (40 cenários, ~20min)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python deepdive/benchmarks/share_recovery_benchmark.py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Arquivo de Teste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O Que Cobre</w:t>
            </w:r>
          </w:p>
        </w:tc>
      </w:tr>
      <w:tr>
        <w:tc>
          <w:tcPr>
            <w:tcW w:type="dxa" w:w="4392"/>
          </w:tcPr>
          <w:p>
            <w:r>
              <w:t>`test_config.py`</w:t>
            </w:r>
          </w:p>
        </w:tc>
        <w:tc>
          <w:tcPr>
            <w:tcW w:type="dxa" w:w="4392"/>
          </w:tcPr>
          <w:p>
            <w:r>
              <w:t>Parsing de YAML, defaults do dataclass</w:t>
            </w:r>
          </w:p>
        </w:tc>
      </w:tr>
      <w:tr>
        <w:tc>
          <w:tcPr>
            <w:tcW w:type="dxa" w:w="4392"/>
          </w:tcPr>
          <w:p>
            <w:r>
              <w:t>`test_extraction.py`</w:t>
            </w:r>
          </w:p>
        </w:tc>
        <w:tc>
          <w:tcPr>
            <w:tcW w:type="dxa" w:w="4392"/>
          </w:tcPr>
          <w:p>
            <w:r>
              <w:t>Mock MLflow, campos do UpgradeResult</w:t>
            </w:r>
          </w:p>
        </w:tc>
      </w:tr>
      <w:tr>
        <w:tc>
          <w:tcPr>
            <w:tcW w:type="dxa" w:w="4392"/>
          </w:tcPr>
          <w:p>
            <w:r>
              <w:t>`test_diagnostics.py`</w:t>
            </w:r>
          </w:p>
        </w:tc>
        <w:tc>
          <w:tcPr>
            <w:tcW w:type="dxa" w:w="4392"/>
          </w:tcPr>
          <w:p>
            <w:r>
              <w:t>Filtro por spend, bucketing __outros__, colunas do spend_report</w:t>
            </w:r>
          </w:p>
        </w:tc>
      </w:tr>
      <w:tr>
        <w:tc>
          <w:tcPr>
            <w:tcW w:type="dxa" w:w="4392"/>
          </w:tcPr>
          <w:p>
            <w:r>
              <w:t>`test_plots.py`</w:t>
            </w:r>
          </w:p>
        </w:tc>
        <w:tc>
          <w:tcPr>
            <w:tcW w:type="dxa" w:w="4392"/>
          </w:tcPr>
          <w:p>
            <w:r>
              <w:t>Figuras Plotly geradas, template dark</w:t>
            </w:r>
          </w:p>
        </w:tc>
      </w:tr>
      <w:tr>
        <w:tc>
          <w:tcPr>
            <w:tcW w:type="dxa" w:w="4392"/>
          </w:tcPr>
          <w:p>
            <w:r>
              <w:t>`test_report.py`</w:t>
            </w:r>
          </w:p>
        </w:tc>
        <w:tc>
          <w:tcPr>
            <w:tcW w:type="dxa" w:w="4392"/>
          </w:tcPr>
          <w:p>
            <w:r>
              <w:t>Criação de arquivos CSV e HTML</w:t>
            </w:r>
          </w:p>
        </w:tc>
      </w:tr>
      <w:tr>
        <w:tc>
          <w:tcPr>
            <w:tcW w:type="dxa" w:w="4392"/>
          </w:tcPr>
          <w:p>
            <w:r>
              <w:t>`test_pipeline_helpers.py`</w:t>
            </w:r>
          </w:p>
        </w:tc>
        <w:tc>
          <w:tcPr>
            <w:tcW w:type="dxa" w:w="4392"/>
          </w:tcPr>
          <w:p>
            <w:r>
              <w:t>_align_to, _wmon_norm (Period e Datetime)</w:t>
            </w:r>
          </w:p>
        </w:tc>
      </w:tr>
      <w:tr>
        <w:tc>
          <w:tcPr>
            <w:tcW w:type="dxa" w:w="4392"/>
          </w:tcPr>
          <w:p>
            <w:r>
              <w:t>`test_synthetic_deepdive.py`</w:t>
            </w:r>
          </w:p>
        </w:tc>
        <w:tc>
          <w:tcPr>
            <w:tcW w:type="dxa" w:w="4392"/>
          </w:tcPr>
          <w:p>
            <w:r>
              <w:t>Hill function, SyntheticDimension, recuperação de shares (slow)</w:t>
            </w:r>
          </w:p>
        </w:tc>
      </w:tr>
    </w:tbl>
    <w:p/>
    <w:p/>
    <w:p/>
    <w:p>
      <w:pPr>
        <w:pStyle w:val="Heading2"/>
      </w:pPr>
      <w:r>
        <w:t>Dependências Principais</w:t>
      </w:r>
    </w:p>
    <w:p/>
    <w:p>
      <w:pPr>
        <w:pStyle w:val="ListBullet"/>
      </w:pPr>
      <w:r>
        <w:t>`mmmverse` — Raven (incluindo PiecewiseLinearTrend, MAPInferenceEngine)</w:t>
      </w:r>
    </w:p>
    <w:p>
      <w:pPr>
        <w:pStyle w:val="ListBullet"/>
      </w:pPr>
      <w:r>
        <w:t>`prophetverse` — BaseEffect (usado pelo ContributionShareLikelihood)</w:t>
      </w:r>
    </w:p>
    <w:p>
      <w:pPr>
        <w:pStyle w:val="ListBullet"/>
      </w:pPr>
      <w:r>
        <w:t>`jax / jaxlib` — backend numérico do Raven</w:t>
      </w:r>
    </w:p>
    <w:p>
      <w:pPr>
        <w:pStyle w:val="ListBullet"/>
      </w:pPr>
      <w:r>
        <w:t>`mlflow` — carregamento de modelos e artefatos</w:t>
      </w:r>
    </w:p>
    <w:p>
      <w:pPr>
        <w:pStyle w:val="ListBullet"/>
      </w:pPr>
      <w:r>
        <w:t>`plotly` — visualizações (dark theme)</w:t>
      </w:r>
    </w:p>
    <w:p>
      <w:pPr>
        <w:pStyle w:val="ListBullet"/>
      </w:pPr>
      <w:r>
        <w:t>`pandas / numpy` — manipulação de dados</w:t>
      </w:r>
    </w:p>
    <w:p>
      <w:pPr>
        <w:pStyle w:val="ListBullet"/>
      </w:pPr>
      <w:r>
        <w:t>`pyyaml` — configuração declarativa</w:t>
      </w:r>
    </w:p>
    <w:p/>
    <w:p/>
    <w:p/>
    <w:p>
      <w:pPr>
        <w:pStyle w:val="Heading2"/>
      </w:pPr>
      <w:r>
        <w:t>Decisões de Design Futuras</w:t>
      </w:r>
    </w:p>
    <w:p/>
    <w:p>
      <w:pPr>
        <w:pStyle w:val="ListBullet"/>
      </w:pPr>
      <w:r>
        <w:t>Mover `ContributionShareLikelihood` para `prophetverse` como efeito nativo</w:t>
      </w:r>
    </w:p>
    <w:p>
      <w:pPr>
        <w:pStyle w:val="ListBullet"/>
      </w:pPr>
      <w:r>
        <w:t>Mover `extra_effects` + `prior dicts` para `mmmverse` como API nativa do Raven</w:t>
      </w:r>
    </w:p>
    <w:p>
      <w:pPr>
        <w:pStyle w:val="ListBullet"/>
      </w:pPr>
      <w:r>
        <w:t>Classe `RavenDeepDive` em `mmmverse` que encapsula o fluxo completo do Deep Dive</w:t>
      </w:r>
    </w:p>
    <w:p>
      <w:pPr>
        <w:pStyle w:val="ListBullet"/>
      </w:pPr>
      <w:r>
        <w:t>Implementar `load_raven_upgrade()` para carregar contribuições de upgrade de modelos Raven para o Deep Dive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