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right"/>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Software Requirements Specification</w:t>
      </w:r>
    </w:p>
    <w:p w:rsidR="00000000" w:rsidDel="00000000" w:rsidP="00000000" w:rsidRDefault="00000000" w:rsidRPr="00000000" w14:paraId="00000002">
      <w:pPr>
        <w:spacing w:after="280" w:before="280" w:line="240" w:lineRule="auto"/>
        <w:jc w:val="right"/>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For project LearnHub</w:t>
      </w:r>
    </w:p>
    <w:p w:rsidR="00000000" w:rsidDel="00000000" w:rsidP="00000000" w:rsidRDefault="00000000" w:rsidRPr="00000000" w14:paraId="00000003">
      <w:pPr>
        <w:spacing w:after="280" w:before="28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Prepared by:</w:t>
      </w:r>
    </w:p>
    <w:p w:rsidR="00000000" w:rsidDel="00000000" w:rsidP="00000000" w:rsidRDefault="00000000" w:rsidRPr="00000000" w14:paraId="00000004">
      <w:pPr>
        <w:spacing w:after="280" w:before="280"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Trần Tấn Đạt</w:t>
      </w:r>
    </w:p>
    <w:p w:rsidR="00000000" w:rsidDel="00000000" w:rsidP="00000000" w:rsidRDefault="00000000" w:rsidRPr="00000000" w14:paraId="00000005">
      <w:pPr>
        <w:spacing w:after="280" w:before="280"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Lê Hữu Huy</w:t>
      </w:r>
    </w:p>
    <w:p w:rsidR="00000000" w:rsidDel="00000000" w:rsidP="00000000" w:rsidRDefault="00000000" w:rsidRPr="00000000" w14:paraId="00000006">
      <w:pPr>
        <w:spacing w:after="280" w:before="280"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Nguyễn Phương Tâm Tâm</w:t>
      </w:r>
    </w:p>
    <w:p w:rsidR="00000000" w:rsidDel="00000000" w:rsidP="00000000" w:rsidRDefault="00000000" w:rsidRPr="00000000" w14:paraId="00000007">
      <w:pPr>
        <w:spacing w:after="280" w:before="280"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Vũ Mạnh Khải</w:t>
      </w:r>
    </w:p>
    <w:p w:rsidR="00000000" w:rsidDel="00000000" w:rsidP="00000000" w:rsidRDefault="00000000" w:rsidRPr="00000000" w14:paraId="00000008">
      <w:pPr>
        <w:spacing w:after="280" w:before="280"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Lê Đức Nam</w:t>
      </w:r>
    </w:p>
    <w:p w:rsidR="00000000" w:rsidDel="00000000" w:rsidP="00000000" w:rsidRDefault="00000000" w:rsidRPr="00000000" w14:paraId="00000009">
      <w:pPr>
        <w:spacing w:after="280" w:before="280" w:line="240" w:lineRule="auto"/>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Trương Minh Hoàng</w:t>
      </w:r>
    </w:p>
    <w:p w:rsidR="00000000" w:rsidDel="00000000" w:rsidP="00000000" w:rsidRDefault="00000000" w:rsidRPr="00000000" w14:paraId="0000000A">
      <w:pPr>
        <w:spacing w:after="280" w:before="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November 11, 2024</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 Introduction</w:t>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Background</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rPr>
      </w:pPr>
      <w:r w:rsidDel="00000000" w:rsidR="00000000" w:rsidRPr="00000000">
        <w:rPr>
          <w:rFonts w:ascii="Arial" w:cs="Arial" w:eastAsia="Arial" w:hAnsi="Arial"/>
          <w:rtl w:val="0"/>
        </w:rPr>
        <w:t xml:space="preserve">In today's fast-paced world, the demand for cross-cultural communication skills among students has skyrocketed. These skills are not only crucial for seamlessly blending into global environments for learning and employment but also have a profound impact on expanding career opportunities and personal growth . Unfortunately, many individuals fail to recognize the significance of these skills, and educational programs often neglect to prioritize their integration</w:t>
      </w: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Business opportunity</w:t>
      </w:r>
    </w:p>
    <w:p w:rsidR="00000000" w:rsidDel="00000000" w:rsidP="00000000" w:rsidRDefault="00000000" w:rsidRPr="00000000" w14:paraId="00000010">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LearnHub not only serves as a catalyst for individual learning journeys but also offers substantial benefits for businesses. By prioritizing the development of Global Citizenship skills, LearnHub contributes to building a workforce that excels in cross-cultural competence, a crucial asset for companies operating in a globalized world. This proficiency enhances communication, collaboration, and adaptability within diverse teams.</w:t>
      </w:r>
    </w:p>
    <w:p w:rsidR="00000000" w:rsidDel="00000000" w:rsidP="00000000" w:rsidRDefault="00000000" w:rsidRPr="00000000" w14:paraId="00000011">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Furthermore, businesses can leverage LearnHub to customize training programs for employees, ensuring that their workforce is equipped with the necessary skills to navigate international markets effectively. The platform's integrated assessment process provides valuable data for businesses to assess and address skill gaps, enabling strategic talent development initiatives. This data-driven approach supports informed decision-making in workforce planning and training investments.</w:t>
      </w:r>
    </w:p>
    <w:p w:rsidR="00000000" w:rsidDel="00000000" w:rsidP="00000000" w:rsidRDefault="00000000" w:rsidRPr="00000000" w14:paraId="00000012">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In essence, LearnHub becomes a strategic partner for businesses, fostering a globally aware and skilled workforce, ultimately contributing to enhanced competitiveness, corporate social responsibility, and sustainable growth in an interconnected global landscape.</w:t>
      </w:r>
    </w:p>
    <w:p w:rsidR="00000000" w:rsidDel="00000000" w:rsidP="00000000" w:rsidRDefault="00000000" w:rsidRPr="00000000" w14:paraId="00000013">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1.3  Business Objectives</w:t>
      </w:r>
    </w:p>
    <w:p w:rsidR="00000000" w:rsidDel="00000000" w:rsidP="00000000" w:rsidRDefault="00000000" w:rsidRPr="00000000" w14:paraId="00000015">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BO-1: More and more Students join web app by 40% within 6 months following initial release.</w:t>
      </w:r>
    </w:p>
    <w:p w:rsidR="00000000" w:rsidDel="00000000" w:rsidP="00000000" w:rsidRDefault="00000000" w:rsidRPr="00000000" w14:paraId="00000016">
      <w:pPr>
        <w:spacing w:after="24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Scale: More and more students join the web app will improve quality</w:t>
      </w:r>
    </w:p>
    <w:p w:rsidR="00000000" w:rsidDel="00000000" w:rsidP="00000000" w:rsidRDefault="00000000" w:rsidRPr="00000000" w14:paraId="00000017">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BO-2: Enhance User Engagement and Retention</w:t>
      </w:r>
    </w:p>
    <w:p w:rsidR="00000000" w:rsidDel="00000000" w:rsidP="00000000" w:rsidRDefault="00000000" w:rsidRPr="00000000" w14:paraId="00000018">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Objective: Increase user engagement and retention within the web app.</w:t>
      </w:r>
    </w:p>
    <w:p w:rsidR="00000000" w:rsidDel="00000000" w:rsidP="00000000" w:rsidRDefault="00000000" w:rsidRPr="00000000" w14:paraId="00000019">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Scale: Monitor and analyze user activity, feedback, and interactions to ensure that as more students join the platform, they find value, remain active, and continue using the application.</w:t>
      </w:r>
    </w:p>
    <w:p w:rsidR="00000000" w:rsidDel="00000000" w:rsidP="00000000" w:rsidRDefault="00000000" w:rsidRPr="00000000" w14:paraId="0000001A">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BO-3: Optimize Course Recommendations and Selection</w:t>
      </w:r>
    </w:p>
    <w:p w:rsidR="00000000" w:rsidDel="00000000" w:rsidP="00000000" w:rsidRDefault="00000000" w:rsidRPr="00000000" w14:paraId="0000001B">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Objective: Improve the efficiency and effectiveness of course recommendations for students.</w:t>
      </w:r>
    </w:p>
    <w:p w:rsidR="00000000" w:rsidDel="00000000" w:rsidP="00000000" w:rsidRDefault="00000000" w:rsidRPr="00000000" w14:paraId="0000001C">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Scale: As more students join the web app, refine the recommendation algorithms based on user preferences, feedback, and historical data. Aim to increase the accuracy of course suggestions, leading to higher satisfaction and better utilization of the platform.</w:t>
      </w:r>
    </w:p>
    <w:p w:rsidR="00000000" w:rsidDel="00000000" w:rsidP="00000000" w:rsidRDefault="00000000" w:rsidRPr="00000000" w14:paraId="0000001D">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1.4 Vision Statement</w:t>
      </w:r>
    </w:p>
    <w:p w:rsidR="00000000" w:rsidDel="00000000" w:rsidP="00000000" w:rsidRDefault="00000000" w:rsidRPr="00000000" w14:paraId="0000001F">
      <w:pPr>
        <w:spacing w:after="0" w:line="276" w:lineRule="auto"/>
        <w:jc w:val="both"/>
        <w:rPr>
          <w:rFonts w:ascii="Arial" w:cs="Arial" w:eastAsia="Arial" w:hAnsi="Arial"/>
        </w:rPr>
      </w:pPr>
      <w:r w:rsidDel="00000000" w:rsidR="00000000" w:rsidRPr="00000000">
        <w:rPr>
          <w:rFonts w:ascii="Arial" w:cs="Arial" w:eastAsia="Arial" w:hAnsi="Arial"/>
          <w:rtl w:val="0"/>
        </w:rPr>
        <w:t xml:space="preserve">For aspiring learners seeking a transformative educational experience:</w:t>
      </w:r>
    </w:p>
    <w:p w:rsidR="00000000" w:rsidDel="00000000" w:rsidP="00000000" w:rsidRDefault="00000000" w:rsidRPr="00000000" w14:paraId="00000020">
      <w:pPr>
        <w:spacing w:after="0" w:line="276" w:lineRule="auto"/>
        <w:jc w:val="both"/>
        <w:rPr>
          <w:rFonts w:ascii="Arial" w:cs="Arial" w:eastAsia="Arial" w:hAnsi="Arial"/>
        </w:rPr>
      </w:pPr>
      <w:r w:rsidDel="00000000" w:rsidR="00000000" w:rsidRPr="00000000">
        <w:rPr>
          <w:rFonts w:ascii="Arial" w:cs="Arial" w:eastAsia="Arial" w:hAnsi="Arial"/>
          <w:rtl w:val="0"/>
        </w:rPr>
        <w:t xml:space="preserve">LearnHub addresses the need for personalized and effective learning,</w:t>
      </w:r>
    </w:p>
    <w:p w:rsidR="00000000" w:rsidDel="00000000" w:rsidP="00000000" w:rsidRDefault="00000000" w:rsidRPr="00000000" w14:paraId="00000021">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Learning Catalyst, is an innovative online learning platform,</w:t>
      </w:r>
    </w:p>
    <w:p w:rsidR="00000000" w:rsidDel="00000000" w:rsidP="00000000" w:rsidRDefault="00000000" w:rsidRPr="00000000" w14:paraId="00000022">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that leverages advanced algorithms, adaptive assessments, and progress tracking to tailor educational journeys for individual growth. Unlike traditional alternatives and conventional learning methods. Our product stands out through its dynamic adaptability, fostering a vibrant community where students connect, collaborate, and inspire one another. LearnHub encourages not just knowledge acquisition, but also the development of essential soft skills, placing learners at the center of their educational experience. We are committed to empowering lifelong knowledge seekers and driving positive societal impact through cutting-edge and learner-centric approaches.</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6B5ECD"/>
  </w:style>
  <w:style w:type="paragraph" w:styleId="Heading1">
    <w:name w:val="heading 1"/>
    <w:basedOn w:val="Normal"/>
    <w:next w:val="Normal"/>
    <w:link w:val="Heading1Char"/>
    <w:uiPriority w:val="9"/>
    <w:qFormat w:val="1"/>
    <w:rsid w:val="00BA0B6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0B6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0B6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0B6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0B6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0B6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A0B6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0B6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0B6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0B6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A0B6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A0B6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A0B6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0B6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0B6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0B6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0B6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0B6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A0B6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A0B6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A0B6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A0B6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0B6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0B68"/>
    <w:rPr>
      <w:i w:val="1"/>
      <w:iCs w:val="1"/>
      <w:color w:val="404040" w:themeColor="text1" w:themeTint="0000BF"/>
    </w:rPr>
  </w:style>
  <w:style w:type="paragraph" w:styleId="ListParagraph">
    <w:name w:val="List Paragraph"/>
    <w:basedOn w:val="Normal"/>
    <w:uiPriority w:val="34"/>
    <w:qFormat w:val="1"/>
    <w:rsid w:val="00BA0B68"/>
    <w:pPr>
      <w:ind w:left="720"/>
      <w:contextualSpacing w:val="1"/>
    </w:pPr>
  </w:style>
  <w:style w:type="character" w:styleId="IntenseEmphasis">
    <w:name w:val="Intense Emphasis"/>
    <w:basedOn w:val="DefaultParagraphFont"/>
    <w:uiPriority w:val="21"/>
    <w:qFormat w:val="1"/>
    <w:rsid w:val="00BA0B68"/>
    <w:rPr>
      <w:i w:val="1"/>
      <w:iCs w:val="1"/>
      <w:color w:val="0f4761" w:themeColor="accent1" w:themeShade="0000BF"/>
    </w:rPr>
  </w:style>
  <w:style w:type="paragraph" w:styleId="IntenseQuote">
    <w:name w:val="Intense Quote"/>
    <w:basedOn w:val="Normal"/>
    <w:next w:val="Normal"/>
    <w:link w:val="IntenseQuoteChar"/>
    <w:uiPriority w:val="30"/>
    <w:qFormat w:val="1"/>
    <w:rsid w:val="00BA0B6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0B68"/>
    <w:rPr>
      <w:i w:val="1"/>
      <w:iCs w:val="1"/>
      <w:color w:val="0f4761" w:themeColor="accent1" w:themeShade="0000BF"/>
    </w:rPr>
  </w:style>
  <w:style w:type="character" w:styleId="IntenseReference">
    <w:name w:val="Intense Reference"/>
    <w:basedOn w:val="DefaultParagraphFont"/>
    <w:uiPriority w:val="32"/>
    <w:qFormat w:val="1"/>
    <w:rsid w:val="00BA0B68"/>
    <w:rPr>
      <w:b w:val="1"/>
      <w:bCs w:val="1"/>
      <w:smallCaps w:val="1"/>
      <w:color w:val="0f4761" w:themeColor="accent1" w:themeShade="0000BF"/>
      <w:spacing w:val="5"/>
    </w:rPr>
  </w:style>
  <w:style w:type="paragraph" w:styleId="Header">
    <w:name w:val="header"/>
    <w:basedOn w:val="Normal"/>
    <w:link w:val="HeaderChar"/>
    <w:uiPriority w:val="99"/>
    <w:unhideWhenUsed w:val="1"/>
    <w:rsid w:val="006B5E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6B5ECD"/>
  </w:style>
  <w:style w:type="paragraph" w:styleId="Footer">
    <w:name w:val="footer"/>
    <w:basedOn w:val="Normal"/>
    <w:link w:val="FooterChar"/>
    <w:uiPriority w:val="99"/>
    <w:unhideWhenUsed w:val="1"/>
    <w:rsid w:val="006B5E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6B5ECD"/>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267iOnDQbe9xZcaosaYpBInlpw==">CgMxLjA4AHIhMTFfTTl6RUxoVjFYT0NoUUg5NnllWUdxUUZJam01WUpq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2024-03-13T14:18:00Z</dcterms:created>
  <dc:creator>Đạt Nguyễn Hoàng</dc:creator>
</cp:coreProperties>
</file>