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1448" w14:textId="77777777" w:rsidR="000E1203" w:rsidRPr="000E1203" w:rsidRDefault="000E1203" w:rsidP="000E1203">
      <w:pPr>
        <w:spacing w:after="0"/>
        <w:rPr>
          <w:sz w:val="28"/>
          <w:szCs w:val="28"/>
        </w:rPr>
      </w:pPr>
      <w:r w:rsidRPr="000E1203">
        <w:rPr>
          <w:sz w:val="28"/>
          <w:szCs w:val="28"/>
        </w:rPr>
        <w:fldChar w:fldCharType="begin"/>
      </w:r>
      <w:r w:rsidRPr="000E1203">
        <w:rPr>
          <w:sz w:val="28"/>
          <w:szCs w:val="28"/>
        </w:rPr>
        <w:instrText>HYPERLINK "https://communitynewspapers.com/category/biscayne-bay/"</w:instrText>
      </w:r>
      <w:r w:rsidRPr="000E1203">
        <w:rPr>
          <w:sz w:val="28"/>
          <w:szCs w:val="28"/>
        </w:rPr>
      </w:r>
      <w:r w:rsidRPr="000E1203">
        <w:rPr>
          <w:sz w:val="28"/>
          <w:szCs w:val="28"/>
        </w:rPr>
        <w:fldChar w:fldCharType="separate"/>
      </w:r>
      <w:r w:rsidRPr="000E1203">
        <w:rPr>
          <w:rStyle w:val="Hyperlink"/>
          <w:sz w:val="28"/>
          <w:szCs w:val="28"/>
        </w:rPr>
        <w:t>Biscayne Bay Tribune</w:t>
      </w:r>
      <w:r w:rsidRPr="000E1203">
        <w:rPr>
          <w:sz w:val="28"/>
          <w:szCs w:val="28"/>
        </w:rPr>
        <w:fldChar w:fldCharType="end"/>
      </w:r>
    </w:p>
    <w:p w14:paraId="3660BF4F" w14:textId="77777777" w:rsidR="000E1203" w:rsidRPr="000E1203" w:rsidRDefault="000E1203" w:rsidP="000E1203">
      <w:pPr>
        <w:spacing w:after="0"/>
        <w:rPr>
          <w:sz w:val="28"/>
          <w:szCs w:val="28"/>
        </w:rPr>
      </w:pPr>
      <w:r w:rsidRPr="000E1203">
        <w:rPr>
          <w:sz w:val="28"/>
          <w:szCs w:val="28"/>
        </w:rPr>
        <w:t>Housing Trust Group breaks ground on $185M mixed-use development with affordable housing in Miami</w:t>
      </w:r>
    </w:p>
    <w:p w14:paraId="38981989" w14:textId="77777777" w:rsidR="000E1203" w:rsidRPr="000E1203" w:rsidRDefault="000E1203" w:rsidP="000E1203">
      <w:pPr>
        <w:spacing w:after="0"/>
        <w:rPr>
          <w:sz w:val="28"/>
          <w:szCs w:val="28"/>
        </w:rPr>
      </w:pPr>
      <w:proofErr w:type="gramStart"/>
      <w:r w:rsidRPr="000E1203">
        <w:rPr>
          <w:sz w:val="28"/>
          <w:szCs w:val="28"/>
        </w:rPr>
        <w:t>By</w:t>
      </w:r>
      <w:proofErr w:type="gramEnd"/>
    </w:p>
    <w:p w14:paraId="479FDD7A" w14:textId="2F1E9DA7" w:rsidR="000E1203" w:rsidRPr="000E1203" w:rsidRDefault="000E1203" w:rsidP="000E1203">
      <w:pPr>
        <w:spacing w:after="0"/>
        <w:rPr>
          <w:sz w:val="28"/>
          <w:szCs w:val="28"/>
        </w:rPr>
      </w:pPr>
      <w:r w:rsidRPr="000E1203">
        <w:rPr>
          <w:sz w:val="28"/>
          <w:szCs w:val="28"/>
        </w:rPr>
        <w:t> </w:t>
      </w:r>
      <w:hyperlink r:id="rId5" w:history="1">
        <w:r w:rsidRPr="000E1203">
          <w:rPr>
            <w:rStyle w:val="Hyperlink"/>
            <w:b/>
            <w:bCs/>
            <w:sz w:val="28"/>
            <w:szCs w:val="28"/>
          </w:rPr>
          <w:t>Community News Releases</w:t>
        </w:r>
      </w:hyperlink>
    </w:p>
    <w:p w14:paraId="742D4E09" w14:textId="24ABE654" w:rsidR="000E1203" w:rsidRPr="000E1203" w:rsidRDefault="000E1203" w:rsidP="000E1203">
      <w:pPr>
        <w:spacing w:after="0"/>
        <w:rPr>
          <w:sz w:val="28"/>
          <w:szCs w:val="28"/>
        </w:rPr>
      </w:pPr>
      <w:r w:rsidRPr="000E1203">
        <w:rPr>
          <w:sz w:val="28"/>
          <w:szCs w:val="28"/>
        </w:rPr>
        <w:t>February 24, 2025</w:t>
      </w:r>
    </w:p>
    <w:tbl>
      <w:tblPr>
        <w:tblW w:w="10440" w:type="dxa"/>
        <w:tblCellMar>
          <w:top w:w="15" w:type="dxa"/>
          <w:left w:w="15" w:type="dxa"/>
          <w:bottom w:w="15" w:type="dxa"/>
          <w:right w:w="15" w:type="dxa"/>
        </w:tblCellMar>
        <w:tblLook w:val="04A0" w:firstRow="1" w:lastRow="0" w:firstColumn="1" w:lastColumn="0" w:noHBand="0" w:noVBand="1"/>
      </w:tblPr>
      <w:tblGrid>
        <w:gridCol w:w="10440"/>
      </w:tblGrid>
      <w:tr w:rsidR="000E1203" w:rsidRPr="000E1203" w14:paraId="6D8B1D14" w14:textId="77777777">
        <w:tc>
          <w:tcPr>
            <w:tcW w:w="0" w:type="auto"/>
            <w:tcBorders>
              <w:top w:val="nil"/>
              <w:left w:val="nil"/>
              <w:bottom w:val="nil"/>
              <w:right w:val="nil"/>
            </w:tcBorders>
            <w:tcMar>
              <w:top w:w="30" w:type="dxa"/>
              <w:left w:w="120" w:type="dxa"/>
              <w:bottom w:w="30" w:type="dxa"/>
              <w:right w:w="120" w:type="dxa"/>
            </w:tcMar>
            <w:vAlign w:val="center"/>
            <w:hideMark/>
          </w:tcPr>
          <w:p w14:paraId="0917B518" w14:textId="77777777" w:rsidR="000E1203" w:rsidRPr="000E1203" w:rsidRDefault="000E1203" w:rsidP="000E1203">
            <w:pPr>
              <w:rPr>
                <w:sz w:val="28"/>
                <w:szCs w:val="28"/>
              </w:rPr>
            </w:pPr>
          </w:p>
        </w:tc>
      </w:tr>
    </w:tbl>
    <w:p w14:paraId="4F85D1E6" w14:textId="77777777" w:rsidR="000E1203" w:rsidRPr="000E1203" w:rsidRDefault="000E1203" w:rsidP="000E1203">
      <w:pPr>
        <w:spacing w:after="0"/>
        <w:jc w:val="center"/>
        <w:rPr>
          <w:sz w:val="28"/>
          <w:szCs w:val="28"/>
        </w:rPr>
      </w:pPr>
      <w:r w:rsidRPr="000E1203">
        <w:rPr>
          <w:noProof/>
          <w:sz w:val="28"/>
          <w:szCs w:val="28"/>
        </w:rPr>
        <w:drawing>
          <wp:inline distT="0" distB="0" distL="0" distR="0" wp14:anchorId="2C6B0601" wp14:editId="0AD2F642">
            <wp:extent cx="4466250" cy="2520950"/>
            <wp:effectExtent l="0" t="0" r="0" b="0"/>
            <wp:docPr id="1435031378" name="Picture 2" descr="Housing Trust Group breaks ground on $185M mixed-use development with affordable housing in Mi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using Trust Group breaks ground on $185M mixed-use development with affordable housing in Miam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2758" cy="2524624"/>
                    </a:xfrm>
                    <a:prstGeom prst="rect">
                      <a:avLst/>
                    </a:prstGeom>
                    <a:noFill/>
                    <a:ln>
                      <a:noFill/>
                    </a:ln>
                  </pic:spPr>
                </pic:pic>
              </a:graphicData>
            </a:graphic>
          </wp:inline>
        </w:drawing>
      </w:r>
    </w:p>
    <w:p w14:paraId="0CE76D6C" w14:textId="4492D1C2" w:rsidR="000E1203" w:rsidRPr="000E1203" w:rsidRDefault="000E1203" w:rsidP="000E1203">
      <w:pPr>
        <w:jc w:val="center"/>
        <w:rPr>
          <w:sz w:val="28"/>
          <w:szCs w:val="28"/>
        </w:rPr>
      </w:pPr>
      <w:r w:rsidRPr="000E1203">
        <w:rPr>
          <w:sz w:val="28"/>
          <w:szCs w:val="28"/>
        </w:rPr>
        <w:t>Rainbow Village (rendering)</w:t>
      </w:r>
    </w:p>
    <w:p w14:paraId="255D841B" w14:textId="77777777" w:rsidR="000E1203" w:rsidRPr="000E1203" w:rsidRDefault="000E1203" w:rsidP="000E1203">
      <w:pPr>
        <w:rPr>
          <w:sz w:val="28"/>
          <w:szCs w:val="28"/>
        </w:rPr>
      </w:pPr>
      <w:r w:rsidRPr="000E1203">
        <w:rPr>
          <w:sz w:val="28"/>
          <w:szCs w:val="28"/>
        </w:rPr>
        <w:t xml:space="preserve">Housing Trust Group (HTG), one of the nation’s largest developers of affordable housing, has secured financing and commenced development on Rainbow Village, </w:t>
      </w:r>
      <w:proofErr w:type="gramStart"/>
      <w:r w:rsidRPr="000E1203">
        <w:rPr>
          <w:sz w:val="28"/>
          <w:szCs w:val="28"/>
        </w:rPr>
        <w:t>a</w:t>
      </w:r>
      <w:proofErr w:type="gramEnd"/>
      <w:r w:rsidRPr="000E1203">
        <w:rPr>
          <w:sz w:val="28"/>
          <w:szCs w:val="28"/>
        </w:rPr>
        <w:t xml:space="preserve"> $185 million mixed-use development with 310 affordable housing units in Miami. Construction is expected to be completed in early 2027, with leasing to begin in late 2026.</w:t>
      </w:r>
    </w:p>
    <w:p w14:paraId="0FA1B84F" w14:textId="77777777" w:rsidR="000E1203" w:rsidRPr="000E1203" w:rsidRDefault="000E1203" w:rsidP="000E1203">
      <w:pPr>
        <w:rPr>
          <w:sz w:val="28"/>
          <w:szCs w:val="28"/>
        </w:rPr>
      </w:pPr>
      <w:r w:rsidRPr="000E1203">
        <w:rPr>
          <w:sz w:val="28"/>
          <w:szCs w:val="28"/>
        </w:rPr>
        <w:t>Rainbow Village will be reserved for income-qualifying residents who earn at or below 30, 50, 60, 70 and 80 percent of the area median income (AMI). Monthly rents for our one-, two-, and three-bedroom apartments will range from $793 to $2,634, significantly below the median rents in Miami, which range from $1,875 to $9,070 for comparable units.</w:t>
      </w:r>
    </w:p>
    <w:p w14:paraId="4A286087" w14:textId="77777777" w:rsidR="000E1203" w:rsidRPr="000E1203" w:rsidRDefault="000E1203" w:rsidP="000E1203">
      <w:pPr>
        <w:rPr>
          <w:sz w:val="28"/>
          <w:szCs w:val="28"/>
        </w:rPr>
      </w:pPr>
      <w:r w:rsidRPr="000E1203">
        <w:rPr>
          <w:sz w:val="28"/>
          <w:szCs w:val="28"/>
        </w:rPr>
        <w:t>“As Miami continues to face a growing demand for affordable housing, Rainbow Village will offer much-needed relief to working families throughout the community,” said Matthew Rieger, president and CEO of Housing Trust Group. “This new development will not only provide a place to call home but will also serve as a cornerstone of stability and opportunity for generations to come.”</w:t>
      </w:r>
    </w:p>
    <w:p w14:paraId="0A0BECDE" w14:textId="77777777" w:rsidR="000E1203" w:rsidRPr="000E1203" w:rsidRDefault="000E1203" w:rsidP="000E1203">
      <w:pPr>
        <w:rPr>
          <w:sz w:val="28"/>
          <w:szCs w:val="28"/>
        </w:rPr>
      </w:pPr>
      <w:r w:rsidRPr="000E1203">
        <w:rPr>
          <w:sz w:val="28"/>
          <w:szCs w:val="28"/>
        </w:rPr>
        <w:t xml:space="preserve">Located at 2000 NW Third Ave., Rainbow Village will feature 30 studio apartments, 163 one-bedroom units, 85 two-bedroom units, 28 three-bedroom units, and four four-bedroom units. Spanning more than 698,000 total square feet, Rainbow Village will </w:t>
      </w:r>
      <w:r w:rsidRPr="000E1203">
        <w:rPr>
          <w:sz w:val="28"/>
          <w:szCs w:val="28"/>
        </w:rPr>
        <w:lastRenderedPageBreak/>
        <w:t>include almost 12,000 square feet of retail, more than 50,000 square feet of amenity space, and 442 parking spaces.</w:t>
      </w:r>
    </w:p>
    <w:p w14:paraId="068AC19D" w14:textId="77777777" w:rsidR="000E1203" w:rsidRPr="000E1203" w:rsidRDefault="000E1203" w:rsidP="000E1203">
      <w:pPr>
        <w:rPr>
          <w:sz w:val="28"/>
          <w:szCs w:val="28"/>
        </w:rPr>
      </w:pPr>
      <w:r w:rsidRPr="000E1203">
        <w:rPr>
          <w:sz w:val="28"/>
          <w:szCs w:val="28"/>
        </w:rPr>
        <w:t xml:space="preserve">Residents will enjoy a wide range of amenities including a resort-style swimming pool, business center, lounge area, </w:t>
      </w:r>
      <w:proofErr w:type="gramStart"/>
      <w:r w:rsidRPr="000E1203">
        <w:rPr>
          <w:sz w:val="28"/>
          <w:szCs w:val="28"/>
        </w:rPr>
        <w:t>daycare</w:t>
      </w:r>
      <w:proofErr w:type="gramEnd"/>
      <w:r w:rsidRPr="000E1203">
        <w:rPr>
          <w:sz w:val="28"/>
          <w:szCs w:val="28"/>
        </w:rPr>
        <w:t>, playground, covered and open courtyards, theatre room, community center with kitchen, a juice bar, bike storage room, state-of-the-art fitness center, study and play areas, onsite generators, and a fire pit area.</w:t>
      </w:r>
    </w:p>
    <w:p w14:paraId="14326A05" w14:textId="77777777" w:rsidR="000E1203" w:rsidRPr="000E1203" w:rsidRDefault="000E1203" w:rsidP="000E1203">
      <w:pPr>
        <w:rPr>
          <w:sz w:val="28"/>
          <w:szCs w:val="28"/>
        </w:rPr>
      </w:pPr>
      <w:r w:rsidRPr="000E1203">
        <w:rPr>
          <w:sz w:val="28"/>
          <w:szCs w:val="28"/>
        </w:rPr>
        <w:t>Residents also will benefit from other services including resident assurance check-ins, assistance with light housekeeping, grocery shopping, laundry and various community events and daily activities.</w:t>
      </w:r>
    </w:p>
    <w:p w14:paraId="6D1A0E51" w14:textId="77777777" w:rsidR="000E1203" w:rsidRPr="000E1203" w:rsidRDefault="000E1203" w:rsidP="000E1203">
      <w:pPr>
        <w:rPr>
          <w:sz w:val="28"/>
          <w:szCs w:val="28"/>
        </w:rPr>
      </w:pPr>
      <w:r w:rsidRPr="000E1203">
        <w:rPr>
          <w:sz w:val="28"/>
          <w:szCs w:val="28"/>
        </w:rPr>
        <w:t xml:space="preserve">After the completion of Rainbow Village, HTG will have developed 1,500 affordable units across 12 different properties in Miami-Dade County, and over 3,000 units across 26 properties in the South Florida </w:t>
      </w:r>
      <w:proofErr w:type="gramStart"/>
      <w:r w:rsidRPr="000E1203">
        <w:rPr>
          <w:sz w:val="28"/>
          <w:szCs w:val="28"/>
        </w:rPr>
        <w:t>tri</w:t>
      </w:r>
      <w:proofErr w:type="gramEnd"/>
      <w:r w:rsidRPr="000E1203">
        <w:rPr>
          <w:sz w:val="28"/>
          <w:szCs w:val="28"/>
        </w:rPr>
        <w:t>-</w:t>
      </w:r>
      <w:proofErr w:type="gramStart"/>
      <w:r w:rsidRPr="000E1203">
        <w:rPr>
          <w:sz w:val="28"/>
          <w:szCs w:val="28"/>
        </w:rPr>
        <w:t>county</w:t>
      </w:r>
      <w:proofErr w:type="gramEnd"/>
      <w:r w:rsidRPr="000E1203">
        <w:rPr>
          <w:sz w:val="28"/>
          <w:szCs w:val="28"/>
        </w:rPr>
        <w:t xml:space="preserve"> area.</w:t>
      </w:r>
    </w:p>
    <w:p w14:paraId="1BA424BA" w14:textId="77777777" w:rsidR="000E1203" w:rsidRPr="000E1203" w:rsidRDefault="000E1203" w:rsidP="000E1203">
      <w:pPr>
        <w:rPr>
          <w:sz w:val="28"/>
          <w:szCs w:val="28"/>
        </w:rPr>
      </w:pPr>
      <w:r w:rsidRPr="000E1203">
        <w:rPr>
          <w:sz w:val="28"/>
          <w:szCs w:val="28"/>
        </w:rPr>
        <w:t>Funding sources include approximately $70 million in 4 percent Low-Income Housing Tax Credits (LIHTC) equity syndicated by Raymond James Equity Investor; State Apartment Incentive Loan (SAIL) financing of $15 million; $52 million and $57.2 million in construction financing provided by KeyBank Real Estate Capital and JPMorgan Chase Bank, respectively; $60.4 million in permanent financing provided by KeyBank Real Estate Capital; a $500,000 grant provided by Miami-Dade County, a $3.1 million PHCD seller note; a $3 million PHCD HOME loan; a $15 million loan provided by the Southeast Overtown/Park West Community Redevelopment Agency (SEOPW CRA), and $11.8 million in Bond Reinvestment Earnings.</w:t>
      </w:r>
    </w:p>
    <w:p w14:paraId="0321AB3F" w14:textId="77777777" w:rsidR="000E1203" w:rsidRPr="000E1203" w:rsidRDefault="000E1203" w:rsidP="000E1203">
      <w:pPr>
        <w:rPr>
          <w:sz w:val="28"/>
          <w:szCs w:val="28"/>
        </w:rPr>
      </w:pPr>
      <w:r w:rsidRPr="000E1203">
        <w:rPr>
          <w:sz w:val="28"/>
          <w:szCs w:val="28"/>
        </w:rPr>
        <w:t>The design and construction team for Rainbow Village includes general contractor ANF Group, architect Zyscovich Inc., civil engineer Kimley-Horn and Associates Inc., Interior Designer Builder’s Design, and landscape architect Witkin Hults.</w:t>
      </w:r>
    </w:p>
    <w:p w14:paraId="3DB341CA" w14:textId="77777777" w:rsidR="000E1203" w:rsidRPr="000E1203" w:rsidRDefault="000E1203" w:rsidP="000E1203">
      <w:pPr>
        <w:rPr>
          <w:sz w:val="28"/>
          <w:szCs w:val="28"/>
        </w:rPr>
      </w:pPr>
      <w:r w:rsidRPr="000E1203">
        <w:rPr>
          <w:sz w:val="28"/>
          <w:szCs w:val="28"/>
        </w:rPr>
        <w:t>“ANF is proud to partner with Housing Trust Group to take on the revitalization of Rainbow Village. This project is a testament to our commitment to community excellence,” said Al Fernandez, CEO of ANF and the construction manager for the project. “Together, we will create a vibrant, transformative space that will modernize older public housing properties and add more density to help address the housing affordability shortage.”</w:t>
      </w:r>
    </w:p>
    <w:p w14:paraId="20EFBB2D" w14:textId="6C502054" w:rsidR="000E1203" w:rsidRPr="000E1203" w:rsidRDefault="000E1203" w:rsidP="000E1203">
      <w:pPr>
        <w:rPr>
          <w:sz w:val="28"/>
          <w:szCs w:val="28"/>
        </w:rPr>
      </w:pPr>
    </w:p>
    <w:p w14:paraId="27EC8132" w14:textId="58F52C74" w:rsidR="000E1203" w:rsidRPr="000E1203" w:rsidRDefault="000E1203" w:rsidP="000E1203">
      <w:pPr>
        <w:rPr>
          <w:sz w:val="28"/>
          <w:szCs w:val="28"/>
        </w:rPr>
      </w:pPr>
    </w:p>
    <w:p w14:paraId="37251875" w14:textId="77777777" w:rsidR="000E1203" w:rsidRPr="000E1203" w:rsidRDefault="000E1203" w:rsidP="000E1203">
      <w:pPr>
        <w:rPr>
          <w:sz w:val="28"/>
          <w:szCs w:val="28"/>
        </w:rPr>
      </w:pPr>
      <w:r w:rsidRPr="000E1203">
        <w:rPr>
          <w:b/>
          <w:bCs/>
          <w:i/>
          <w:iCs/>
          <w:sz w:val="28"/>
          <w:szCs w:val="28"/>
        </w:rPr>
        <w:t>ABOUT US:</w:t>
      </w:r>
    </w:p>
    <w:p w14:paraId="25280A4F" w14:textId="77777777" w:rsidR="000E1203" w:rsidRPr="000E1203" w:rsidRDefault="000E1203" w:rsidP="000E1203">
      <w:pPr>
        <w:rPr>
          <w:sz w:val="28"/>
          <w:szCs w:val="28"/>
        </w:rPr>
      </w:pPr>
      <w:r w:rsidRPr="000E1203">
        <w:rPr>
          <w:i/>
          <w:iCs/>
          <w:sz w:val="28"/>
          <w:szCs w:val="28"/>
        </w:rPr>
        <w:lastRenderedPageBreak/>
        <w:t>For more Miami community news, look no further than Miami Community Newspapers. This Miami online group of newspapers covers a variety of topics about the local community and beyond. Miami’s Community Newspapers offers daily news, online resources, podcasts and other multimedia content to keep readers informed. With topics ranging from local news to community events, Miami’s Community Newspapers is the ideal source for staying up to date with the latest news and happenings in the area.</w:t>
      </w:r>
    </w:p>
    <w:p w14:paraId="0C204F52" w14:textId="77777777" w:rsidR="000E1203" w:rsidRPr="000E1203" w:rsidRDefault="000E1203" w:rsidP="000E1203">
      <w:pPr>
        <w:rPr>
          <w:sz w:val="28"/>
          <w:szCs w:val="28"/>
        </w:rPr>
      </w:pPr>
      <w:r w:rsidRPr="000E1203">
        <w:rPr>
          <w:i/>
          <w:iCs/>
          <w:sz w:val="28"/>
          <w:szCs w:val="28"/>
        </w:rPr>
        <w:t>This family-owned media company publishes more than a dozen neighborhood publications, magazines, special sections on their websites, newsletters, as well as distributing them in print throughout Miami Dade County from Aventura, Sunny Isles Beach, Miami Beach, Coral Gables, Brickell, Coconut Grove, Pinecrest, South Miami, Kendall, Palmetto Bay, Cutler Bay and Homestead. Each online publication and print editions provide comprehensive coverage of local news, events, business updates, lifestyle features, and local initiatives within its respective community.</w:t>
      </w:r>
    </w:p>
    <w:p w14:paraId="4E8FAF5D" w14:textId="77777777" w:rsidR="000E1203" w:rsidRPr="000E1203" w:rsidRDefault="000E1203" w:rsidP="000E1203">
      <w:pPr>
        <w:rPr>
          <w:sz w:val="28"/>
          <w:szCs w:val="28"/>
        </w:rPr>
      </w:pPr>
      <w:r w:rsidRPr="000E1203">
        <w:rPr>
          <w:i/>
          <w:iCs/>
          <w:sz w:val="28"/>
          <w:szCs w:val="28"/>
        </w:rPr>
        <w:t>Additionally, the newspaper has exclusive Miami community podcasts, providing listeners with an in-depth look into Miami’s culture. Whether you’re looking for local Miami news, or podcasts, Miami’s Community Newspapers has you covered. For more information, be sure to check out: </w:t>
      </w:r>
      <w:hyperlink r:id="rId7" w:history="1">
        <w:r w:rsidRPr="000E1203">
          <w:rPr>
            <w:rStyle w:val="Hyperlink"/>
            <w:i/>
            <w:iCs/>
            <w:sz w:val="28"/>
            <w:szCs w:val="28"/>
          </w:rPr>
          <w:t>https://communitynewspapers.com</w:t>
        </w:r>
      </w:hyperlink>
      <w:r w:rsidRPr="000E1203">
        <w:rPr>
          <w:i/>
          <w:iCs/>
          <w:sz w:val="28"/>
          <w:szCs w:val="28"/>
        </w:rPr>
        <w:t>.</w:t>
      </w:r>
    </w:p>
    <w:p w14:paraId="794773EC" w14:textId="77777777" w:rsidR="000E1203" w:rsidRPr="000E1203" w:rsidRDefault="000E1203" w:rsidP="000E1203">
      <w:pPr>
        <w:rPr>
          <w:sz w:val="28"/>
          <w:szCs w:val="28"/>
        </w:rPr>
      </w:pPr>
      <w:r w:rsidRPr="000E1203">
        <w:rPr>
          <w:i/>
          <w:iCs/>
          <w:sz w:val="28"/>
          <w:szCs w:val="28"/>
        </w:rPr>
        <w:t>If you have any questions, feel free to email </w:t>
      </w:r>
      <w:hyperlink r:id="rId8" w:history="1">
        <w:r w:rsidRPr="000E1203">
          <w:rPr>
            <w:rStyle w:val="Hyperlink"/>
            <w:i/>
            <w:iCs/>
            <w:sz w:val="28"/>
            <w:szCs w:val="28"/>
          </w:rPr>
          <w:t>Michael@communitynewspapers.com</w:t>
        </w:r>
      </w:hyperlink>
      <w:r w:rsidRPr="000E1203">
        <w:rPr>
          <w:i/>
          <w:iCs/>
          <w:sz w:val="28"/>
          <w:szCs w:val="28"/>
        </w:rPr>
        <w:t> or </w:t>
      </w:r>
      <w:hyperlink r:id="rId9" w:history="1">
        <w:r w:rsidRPr="000E1203">
          <w:rPr>
            <w:rStyle w:val="Hyperlink"/>
            <w:i/>
            <w:iCs/>
            <w:sz w:val="28"/>
            <w:szCs w:val="28"/>
          </w:rPr>
          <w:t>Grant@communitynewspapers.com</w:t>
        </w:r>
      </w:hyperlink>
      <w:r w:rsidRPr="000E1203">
        <w:rPr>
          <w:i/>
          <w:iCs/>
          <w:sz w:val="28"/>
          <w:szCs w:val="28"/>
        </w:rPr>
        <w:t>.</w:t>
      </w:r>
    </w:p>
    <w:p w14:paraId="3E385083" w14:textId="77777777" w:rsidR="000E1203" w:rsidRPr="000E1203" w:rsidRDefault="000E1203" w:rsidP="000E1203">
      <w:pPr>
        <w:rPr>
          <w:sz w:val="28"/>
          <w:szCs w:val="28"/>
        </w:rPr>
      </w:pPr>
    </w:p>
    <w:sectPr w:rsidR="000E1203" w:rsidRPr="000E1203" w:rsidSect="000E120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A6D9E"/>
    <w:multiLevelType w:val="multilevel"/>
    <w:tmpl w:val="094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303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03"/>
    <w:rsid w:val="000E1203"/>
    <w:rsid w:val="008A32AE"/>
    <w:rsid w:val="00C73408"/>
    <w:rsid w:val="00F91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A4C5"/>
  <w15:chartTrackingRefBased/>
  <w15:docId w15:val="{0AB57E4A-5E7E-4239-839A-0F60FBBA3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203"/>
    <w:rPr>
      <w:rFonts w:eastAsiaTheme="majorEastAsia" w:cstheme="majorBidi"/>
      <w:color w:val="272727" w:themeColor="text1" w:themeTint="D8"/>
    </w:rPr>
  </w:style>
  <w:style w:type="paragraph" w:styleId="Title">
    <w:name w:val="Title"/>
    <w:basedOn w:val="Normal"/>
    <w:next w:val="Normal"/>
    <w:link w:val="TitleChar"/>
    <w:uiPriority w:val="10"/>
    <w:qFormat/>
    <w:rsid w:val="000E1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203"/>
    <w:pPr>
      <w:spacing w:before="160"/>
      <w:jc w:val="center"/>
    </w:pPr>
    <w:rPr>
      <w:i/>
      <w:iCs/>
      <w:color w:val="404040" w:themeColor="text1" w:themeTint="BF"/>
    </w:rPr>
  </w:style>
  <w:style w:type="character" w:customStyle="1" w:styleId="QuoteChar">
    <w:name w:val="Quote Char"/>
    <w:basedOn w:val="DefaultParagraphFont"/>
    <w:link w:val="Quote"/>
    <w:uiPriority w:val="29"/>
    <w:rsid w:val="000E1203"/>
    <w:rPr>
      <w:i/>
      <w:iCs/>
      <w:color w:val="404040" w:themeColor="text1" w:themeTint="BF"/>
    </w:rPr>
  </w:style>
  <w:style w:type="paragraph" w:styleId="ListParagraph">
    <w:name w:val="List Paragraph"/>
    <w:basedOn w:val="Normal"/>
    <w:uiPriority w:val="34"/>
    <w:qFormat/>
    <w:rsid w:val="000E1203"/>
    <w:pPr>
      <w:ind w:left="720"/>
      <w:contextualSpacing/>
    </w:pPr>
  </w:style>
  <w:style w:type="character" w:styleId="IntenseEmphasis">
    <w:name w:val="Intense Emphasis"/>
    <w:basedOn w:val="DefaultParagraphFont"/>
    <w:uiPriority w:val="21"/>
    <w:qFormat/>
    <w:rsid w:val="000E1203"/>
    <w:rPr>
      <w:i/>
      <w:iCs/>
      <w:color w:val="0F4761" w:themeColor="accent1" w:themeShade="BF"/>
    </w:rPr>
  </w:style>
  <w:style w:type="paragraph" w:styleId="IntenseQuote">
    <w:name w:val="Intense Quote"/>
    <w:basedOn w:val="Normal"/>
    <w:next w:val="Normal"/>
    <w:link w:val="IntenseQuoteChar"/>
    <w:uiPriority w:val="30"/>
    <w:qFormat/>
    <w:rsid w:val="000E1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203"/>
    <w:rPr>
      <w:i/>
      <w:iCs/>
      <w:color w:val="0F4761" w:themeColor="accent1" w:themeShade="BF"/>
    </w:rPr>
  </w:style>
  <w:style w:type="character" w:styleId="IntenseReference">
    <w:name w:val="Intense Reference"/>
    <w:basedOn w:val="DefaultParagraphFont"/>
    <w:uiPriority w:val="32"/>
    <w:qFormat/>
    <w:rsid w:val="000E1203"/>
    <w:rPr>
      <w:b/>
      <w:bCs/>
      <w:smallCaps/>
      <w:color w:val="0F4761" w:themeColor="accent1" w:themeShade="BF"/>
      <w:spacing w:val="5"/>
    </w:rPr>
  </w:style>
  <w:style w:type="character" w:styleId="Hyperlink">
    <w:name w:val="Hyperlink"/>
    <w:basedOn w:val="DefaultParagraphFont"/>
    <w:uiPriority w:val="99"/>
    <w:unhideWhenUsed/>
    <w:rsid w:val="000E1203"/>
    <w:rPr>
      <w:color w:val="467886" w:themeColor="hyperlink"/>
      <w:u w:val="single"/>
    </w:rPr>
  </w:style>
  <w:style w:type="character" w:styleId="UnresolvedMention">
    <w:name w:val="Unresolved Mention"/>
    <w:basedOn w:val="DefaultParagraphFont"/>
    <w:uiPriority w:val="99"/>
    <w:semiHidden/>
    <w:unhideWhenUsed/>
    <w:rsid w:val="000E1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el@communitynewspapers.com" TargetMode="External"/><Relationship Id="rId3" Type="http://schemas.openxmlformats.org/officeDocument/2006/relationships/settings" Target="settings.xml"/><Relationship Id="rId7" Type="http://schemas.openxmlformats.org/officeDocument/2006/relationships/hyperlink" Target="https://communitynewspape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communitynewspapers.com/author/community-news-releas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Grant@communitynewspap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827</Words>
  <Characters>4718</Characters>
  <Application>Microsoft Office Word</Application>
  <DocSecurity>0</DocSecurity>
  <Lines>39</Lines>
  <Paragraphs>11</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Keshie Young</dc:creator>
  <cp:keywords/>
  <dc:description/>
  <cp:lastModifiedBy>Frances M. Esposito</cp:lastModifiedBy>
  <cp:revision>2</cp:revision>
  <dcterms:created xsi:type="dcterms:W3CDTF">2026-03-25T20:07:00Z</dcterms:created>
  <dcterms:modified xsi:type="dcterms:W3CDTF">2026-03-25T20:07:00Z</dcterms:modified>
</cp:coreProperties>
</file>