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82e1f5725ff67a808702f694f7bacd9ae404a4"/>
    <w:p>
      <w:pPr>
        <w:pStyle w:val="Heading2"/>
      </w:pPr>
      <w:r>
        <w:t xml:space="preserve">Strategic sectors vs. manufacturing graph animation for WIR 2026 minisite</w:t>
      </w:r>
    </w:p>
    <w:bookmarkStart w:id="20" w:name="transition-from-chapter-2"/>
    <w:p>
      <w:pPr>
        <w:pStyle w:val="Heading3"/>
      </w:pPr>
      <w:r>
        <w:t xml:space="preserve">Transition from Chapter 2</w:t>
      </w:r>
    </w:p>
    <w:p>
      <w:pPr>
        <w:pStyle w:val="FirstParagraph"/>
      </w:pPr>
      <w:r>
        <w:rPr>
          <w:b/>
          <w:bCs/>
        </w:rPr>
        <w:t xml:space="preserve">Policymakers have become more strategic – and so have investors </w:t>
      </w:r>
    </w:p>
    <w:p>
      <w:pPr>
        <w:pStyle w:val="BodyText"/>
      </w:pPr>
      <w:r>
        <w:t xml:space="preserve">The line slides in as the reader leaves Chapter 2, then fades as the chart begins.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r>
        <w:pict>
          <v:rect style="width:0;height:1.5pt" o:hralign="center" o:hrstd="t" o:hr="t"/>
        </w:pict>
      </w:r>
    </w:p>
    <w:bookmarkEnd w:id="20"/>
    <w:bookmarkStart w:id="21" w:name="Xa53563cea66f728cedaa6fce8b6ff3347d1db85"/>
    <w:p>
      <w:pPr>
        <w:pStyle w:val="Heading3"/>
      </w:pPr>
      <w:r>
        <w:t xml:space="preserve">Step 1 – Investment surges</w:t>
      </w:r>
      <w:r>
        <w:t xml:space="preserve"> </w:t>
      </w:r>
      <w:r>
        <w:rPr>
          <w:i/>
          <w:iCs/>
        </w:rPr>
        <w:t xml:space="preserve">(step label; not visible to the user)</w:t>
      </w:r>
    </w:p>
    <w:p>
      <w:pPr>
        <w:pStyle w:val="FirstParagraph"/>
      </w:pPr>
      <w:r>
        <w:rPr>
          <w:b/>
          <w:bCs/>
        </w:rPr>
        <w:t xml:space="preserve">Investment is booming in five strategic sectors.</w:t>
      </w:r>
    </w:p>
    <w:p>
      <w:pPr>
        <w:pStyle w:val="BodyText"/>
      </w:pPr>
      <w:r>
        <w:t xml:space="preserve">The 2020 stacked bar appears: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$109 billion</w:t>
      </w:r>
      <w:r>
        <w:br/>
      </w:r>
      <w:r>
        <w:rPr>
          <w:b/>
          <w:bCs/>
        </w:rPr>
        <w:t xml:space="preserve">16% of global greenfield investment</w:t>
      </w:r>
      <w:r>
        <w:t xml:space="preserve"> </w:t>
      </w:r>
    </w:p>
    <w:p>
      <w:pPr>
        <w:pStyle w:val="BodyText"/>
      </w:pPr>
      <w:r>
        <w:t xml:space="preserve">The bars then build continuously from 2020 to 2025.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t xml:space="preserve">The 2025 bar reaches: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$576 billion</w:t>
      </w:r>
      <w:r>
        <w:br/>
      </w:r>
      <w:r>
        <w:rPr>
          <w:b/>
          <w:bCs/>
        </w:rPr>
        <w:t xml:space="preserve">44% of global greenfield investment</w:t>
      </w:r>
    </w:p>
    <w:p>
      <w:pPr>
        <w:pStyle w:val="BodyText"/>
      </w:pPr>
      <w:r>
        <w:t xml:space="preserve">The opening line is replaced by: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Investment increased more than fivefold in five years.</w:t>
      </w:r>
    </w:p>
    <w:p>
      <w:r>
        <w:pict>
          <v:rect style="width:0;height:1.5pt" o:hralign="center" o:hrstd="t" o:hr="t"/>
        </w:pict>
      </w:r>
    </w:p>
    <w:bookmarkEnd w:id="21"/>
    <w:bookmarkStart w:id="22" w:name="X563198aefda318f3c45de426d72a07493e29db6"/>
    <w:p>
      <w:pPr>
        <w:pStyle w:val="Heading3"/>
      </w:pPr>
      <w:r>
        <w:t xml:space="preserve">Step 2 – What’s driving the boom</w:t>
      </w:r>
      <w:r>
        <w:t xml:space="preserve"> </w:t>
      </w:r>
      <w:r>
        <w:rPr>
          <w:i/>
          <w:iCs/>
        </w:rPr>
        <w:t xml:space="preserve">(step label; not visible to the user)</w:t>
      </w:r>
    </w:p>
    <w:p>
      <w:pPr>
        <w:pStyle w:val="FirstParagraph"/>
      </w:pPr>
      <w:r>
        <w:rPr>
          <w:b/>
          <w:bCs/>
        </w:rPr>
        <w:t xml:space="preserve">AI infrastructure is the largest segment. Semiconductors are growing fastest.</w:t>
      </w:r>
      <w:r>
        <w:t xml:space="preserve"> </w:t>
      </w:r>
    </w:p>
    <w:p>
      <w:pPr>
        <w:pStyle w:val="BodyText"/>
      </w:pPr>
      <w:r>
        <w:t xml:space="preserve">The five segments remain visible within the 2025 bar. Their average annual growth rates appear beside them: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Compact"/>
        <w:numPr>
          <w:ilvl w:val="0"/>
          <w:numId w:val="1001"/>
        </w:numPr>
      </w:pPr>
      <w:r>
        <w:t xml:space="preserve">Semiconductors:</w:t>
      </w:r>
      <w:r>
        <w:t xml:space="preserve"> </w:t>
      </w:r>
      <w:r>
        <w:rPr>
          <w:b/>
          <w:bCs/>
        </w:rPr>
        <w:t xml:space="preserve">54%</w:t>
      </w:r>
    </w:p>
    <w:p>
      <w:pPr>
        <w:pStyle w:val="Compact"/>
        <w:numPr>
          <w:ilvl w:val="0"/>
          <w:numId w:val="1001"/>
        </w:numPr>
      </w:pPr>
      <w:r>
        <w:t xml:space="preserve">AI infrastructure and related technologies:</w:t>
      </w:r>
      <w:r>
        <w:t xml:space="preserve"> </w:t>
      </w:r>
      <w:r>
        <w:rPr>
          <w:b/>
          <w:bCs/>
        </w:rPr>
        <w:t xml:space="preserve">47%</w:t>
      </w:r>
    </w:p>
    <w:p>
      <w:pPr>
        <w:pStyle w:val="Compact"/>
        <w:numPr>
          <w:ilvl w:val="0"/>
          <w:numId w:val="1001"/>
        </w:numPr>
      </w:pPr>
      <w:r>
        <w:t xml:space="preserve">Critical minerals:</w:t>
      </w:r>
      <w:r>
        <w:t xml:space="preserve"> </w:t>
      </w:r>
      <w:r>
        <w:rPr>
          <w:b/>
          <w:bCs/>
        </w:rPr>
        <w:t xml:space="preserve">17%</w:t>
      </w:r>
    </w:p>
    <w:p>
      <w:pPr>
        <w:pStyle w:val="Compact"/>
        <w:numPr>
          <w:ilvl w:val="0"/>
          <w:numId w:val="1001"/>
        </w:numPr>
      </w:pPr>
      <w:r>
        <w:t xml:space="preserve">Energy transition technologies and services:</w:t>
      </w:r>
      <w:r>
        <w:t xml:space="preserve"> </w:t>
      </w:r>
      <w:r>
        <w:rPr>
          <w:b/>
          <w:bCs/>
        </w:rPr>
        <w:t xml:space="preserve">17%</w:t>
      </w:r>
    </w:p>
    <w:p>
      <w:pPr>
        <w:pStyle w:val="Compact"/>
        <w:numPr>
          <w:ilvl w:val="0"/>
          <w:numId w:val="1001"/>
        </w:numPr>
      </w:pPr>
      <w:r>
        <w:t xml:space="preserve">Advanced and sensitive technologies:</w:t>
      </w:r>
      <w:r>
        <w:t xml:space="preserve"> </w:t>
      </w:r>
      <w:r>
        <w:rPr>
          <w:b/>
          <w:bCs/>
        </w:rPr>
        <w:t xml:space="preserve">8%</w:t>
      </w:r>
    </w:p>
    <w:p>
      <w:pPr>
        <w:pStyle w:val="FirstParagraph"/>
      </w:pPr>
      <w:r>
        <w:t xml:space="preserve">AI infrastructure is highlighted first, followed by semiconductors.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r>
        <w:pict>
          <v:rect style="width:0;height:1.5pt" o:hralign="center" o:hrstd="t" o:hr="t"/>
        </w:pict>
      </w:r>
    </w:p>
    <w:bookmarkEnd w:id="22"/>
    <w:bookmarkStart w:id="23" w:name="Xe17112b3c70cc2fc4adb81665df117749ab441b"/>
    <w:p>
      <w:pPr>
        <w:pStyle w:val="Heading3"/>
      </w:pPr>
      <w:r>
        <w:t xml:space="preserve">Step 3 – Manufacturing moves in the opposite direction</w:t>
      </w:r>
      <w:r>
        <w:t xml:space="preserve"> </w:t>
      </w:r>
      <w:r>
        <w:rPr>
          <w:i/>
          <w:iCs/>
        </w:rPr>
        <w:t xml:space="preserve">(step label; not visible to the user)</w:t>
      </w:r>
    </w:p>
    <w:p>
      <w:pPr>
        <w:pStyle w:val="FirstParagraph"/>
      </w:pPr>
      <w:r>
        <w:rPr>
          <w:b/>
          <w:bCs/>
        </w:rPr>
        <w:t xml:space="preserve">But traditional manufacturing moved in the opposite direction.</w:t>
      </w:r>
    </w:p>
    <w:p>
      <w:pPr>
        <w:pStyle w:val="BodyText"/>
      </w:pPr>
      <w:r>
        <w:t xml:space="preserve">The strategic-sector chart transforms into two bars showing announced greenfield investment in manufacturing outside strategic sectors: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2015–2019</w:t>
      </w:r>
      <w:r>
        <w:br/>
      </w:r>
      <w:r>
        <w:rPr>
          <w:b/>
          <w:bCs/>
        </w:rPr>
        <w:t xml:space="preserve">$970 billion</w:t>
      </w:r>
    </w:p>
    <w:p>
      <w:pPr>
        <w:pStyle w:val="BodyText"/>
      </w:pPr>
      <w:r>
        <w:rPr>
          <w:b/>
          <w:bCs/>
        </w:rPr>
        <w:t xml:space="preserve">2021–2025</w:t>
      </w:r>
      <w:r>
        <w:br/>
      </w:r>
      <w:r>
        <w:rPr>
          <w:b/>
          <w:bCs/>
        </w:rPr>
        <w:t xml:space="preserve">$807 billion</w:t>
      </w:r>
    </w:p>
    <w:p>
      <w:pPr>
        <w:pStyle w:val="BodyText"/>
      </w:pPr>
      <w:r>
        <w:t xml:space="preserve">The second bar contracts and the overall change appears: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–17%</w:t>
      </w:r>
    </w:p>
    <w:p>
      <w:pPr>
        <w:pStyle w:val="BodyText"/>
      </w:pPr>
      <w:r>
        <w:t xml:space="preserve">The sectors affected appear briefly: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Agribusiness</w:t>
      </w:r>
      <w:r>
        <w:br/>
      </w:r>
      <w:r>
        <w:rPr>
          <w:b/>
          <w:bCs/>
        </w:rPr>
        <w:t xml:space="preserve">Consumer goods</w:t>
      </w:r>
      <w:r>
        <w:br/>
      </w:r>
      <w:r>
        <w:rPr>
          <w:b/>
          <w:bCs/>
        </w:rPr>
        <w:t xml:space="preserve">Textiles and apparel</w:t>
      </w:r>
      <w:r>
        <w:br/>
      </w:r>
      <w:r>
        <w:rPr>
          <w:b/>
          <w:bCs/>
        </w:rPr>
        <w:t xml:space="preserve">Traditional transport equipment</w:t>
      </w:r>
    </w:p>
    <w:p>
      <w:r>
        <w:pict>
          <v:rect style="width:0;height:1.5pt" o:hralign="center" o:hrstd="t" o:hr="t"/>
        </w:pict>
      </w:r>
    </w:p>
    <w:bookmarkEnd w:id="23"/>
    <w:bookmarkStart w:id="24" w:name="X9d3cb7f4dd1ae70fe7f648672f93872f7790ab2"/>
    <w:p>
      <w:pPr>
        <w:pStyle w:val="Heading3"/>
      </w:pPr>
      <w:r>
        <w:t xml:space="preserve">Step 4 – The divide widens</w:t>
      </w:r>
      <w:r>
        <w:t xml:space="preserve"> </w:t>
      </w:r>
      <w:r>
        <w:rPr>
          <w:i/>
          <w:iCs/>
        </w:rPr>
        <w:t xml:space="preserve">(step label; not visible to the user)</w:t>
      </w:r>
    </w:p>
    <w:p>
      <w:pPr>
        <w:pStyle w:val="FirstParagraph"/>
      </w:pPr>
      <w:r>
        <w:rPr>
          <w:b/>
          <w:bCs/>
        </w:rPr>
        <w:t xml:space="preserve">The most vulnerable economies saw the deepest declines.</w:t>
      </w:r>
    </w:p>
    <w:p>
      <w:pPr>
        <w:pStyle w:val="BodyText"/>
      </w:pPr>
      <w:r>
        <w:t xml:space="preserve">The manufacturing bars separate into four income groups: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Compact"/>
        <w:numPr>
          <w:ilvl w:val="0"/>
          <w:numId w:val="1002"/>
        </w:numPr>
      </w:pPr>
      <w:r>
        <w:t xml:space="preserve">High income:</w:t>
      </w:r>
      <w:r>
        <w:t xml:space="preserve"> </w:t>
      </w:r>
      <w:r>
        <w:rPr>
          <w:b/>
          <w:bCs/>
        </w:rPr>
        <w:t xml:space="preserve">–9%</w:t>
      </w:r>
    </w:p>
    <w:p>
      <w:pPr>
        <w:pStyle w:val="Compact"/>
        <w:numPr>
          <w:ilvl w:val="0"/>
          <w:numId w:val="1002"/>
        </w:numPr>
      </w:pPr>
      <w:r>
        <w:t xml:space="preserve">Upper-middle income:</w:t>
      </w:r>
      <w:r>
        <w:t xml:space="preserve"> </w:t>
      </w:r>
      <w:r>
        <w:rPr>
          <w:b/>
          <w:bCs/>
        </w:rPr>
        <w:t xml:space="preserve">–33%</w:t>
      </w:r>
    </w:p>
    <w:p>
      <w:pPr>
        <w:pStyle w:val="Compact"/>
        <w:numPr>
          <w:ilvl w:val="0"/>
          <w:numId w:val="1002"/>
        </w:numPr>
      </w:pPr>
      <w:r>
        <w:t xml:space="preserve">Lower-middle income:</w:t>
      </w:r>
      <w:r>
        <w:t xml:space="preserve"> </w:t>
      </w:r>
      <w:r>
        <w:rPr>
          <w:b/>
          <w:bCs/>
        </w:rPr>
        <w:t xml:space="preserve">+6%</w:t>
      </w:r>
    </w:p>
    <w:p>
      <w:pPr>
        <w:pStyle w:val="Compact"/>
        <w:numPr>
          <w:ilvl w:val="0"/>
          <w:numId w:val="1002"/>
        </w:numPr>
      </w:pPr>
      <w:r>
        <w:t xml:space="preserve">Low income:</w:t>
      </w:r>
      <w:r>
        <w:t xml:space="preserve"> </w:t>
      </w:r>
      <w:r>
        <w:rPr>
          <w:b/>
          <w:bCs/>
        </w:rPr>
        <w:t xml:space="preserve">–70%</w:t>
      </w:r>
    </w:p>
    <w:p>
      <w:pPr>
        <w:pStyle w:val="FirstParagraph"/>
      </w:pPr>
      <w:r>
        <w:t xml:space="preserve">The other figures fade back, leaving</w:t>
      </w:r>
      <w:r>
        <w:t xml:space="preserve"> </w:t>
      </w:r>
      <w:r>
        <w:rPr>
          <w:b/>
          <w:bCs/>
        </w:rPr>
        <w:t xml:space="preserve">–70%</w:t>
      </w:r>
      <w:r>
        <w:t xml:space="preserve"> </w:t>
      </w:r>
      <w:r>
        <w:t xml:space="preserve">prominent.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t xml:space="preserve">The final line appears: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The most accessible routes into global production networks are narrowing for those who need them most. </w:t>
      </w:r>
    </w:p>
    <w:p>
      <w:pPr>
        <w:pStyle w:val="BodyText"/>
      </w:pPr>
      <w:r>
        <w:t xml:space="preserve">Transition into Chapter 3</w:t>
      </w:r>
    </w:p>
    <w:p>
      <w:pPr>
        <w:pStyle w:val="BodyText"/>
      </w:pPr>
      <w:r>
        <w:t xml:space="preserve">The chart fades, leaving: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p>
      <w:pPr>
        <w:pStyle w:val="BodyText"/>
      </w:pPr>
      <w:r>
        <w:rPr>
          <w:b/>
          <w:bCs/>
        </w:rPr>
        <w:t xml:space="preserve">New opportunities are emerging – but fewer countries are able to seize them.</w:t>
      </w:r>
      <w:r>
        <w:t xml:space="preserve"> </w:t>
      </w:r>
    </w:p>
    <w:p>
      <w:pPr>
        <w:pStyle w:val="BodyText"/>
      </w:pPr>
      <w:r>
        <w:t xml:space="preserve">The Chapter 3 title then enters.</w:t>
      </w:r>
      <w:r>
        <w:t xml:space="preserve"> </w:t>
      </w:r>
      <w:r>
        <w:rPr>
          <w:i/>
          <w:iCs/>
        </w:rPr>
        <w:t xml:space="preserve">(animation instruction; not visible to the user)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2026-06-24T15:55:40Z</dcterms:created>
  <dcterms:modified xsi:type="dcterms:W3CDTF">2026-06-24T15:55:40Z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