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6738F9" w:rsidR="00842DFA" w:rsidP="006738F9" w:rsidRDefault="006738F9" w14:paraId="75FDB176" w14:textId="2D8AF7FE">
      <w:pPr>
        <w:jc w:val="center"/>
        <w:rPr>
          <w:b/>
          <w:bCs/>
          <w:sz w:val="36"/>
          <w:szCs w:val="36"/>
          <w:lang w:val="en-US"/>
        </w:rPr>
      </w:pPr>
      <w:r w:rsidRPr="006738F9">
        <w:rPr>
          <w:b/>
          <w:bCs/>
          <w:sz w:val="36"/>
          <w:szCs w:val="36"/>
          <w:lang w:val="en-US"/>
        </w:rPr>
        <w:t xml:space="preserve">World Investment Report 2026 </w:t>
      </w:r>
      <w:proofErr w:type="spellStart"/>
      <w:r w:rsidRPr="006738F9">
        <w:rPr>
          <w:b/>
          <w:bCs/>
          <w:sz w:val="36"/>
          <w:szCs w:val="36"/>
          <w:lang w:val="en-US"/>
        </w:rPr>
        <w:t>minisite</w:t>
      </w:r>
      <w:proofErr w:type="spellEnd"/>
      <w:r w:rsidRPr="006738F9">
        <w:rPr>
          <w:b/>
          <w:bCs/>
          <w:sz w:val="36"/>
          <w:szCs w:val="36"/>
          <w:lang w:val="en-US"/>
        </w:rPr>
        <w:t xml:space="preserve"> text</w:t>
      </w:r>
    </w:p>
    <w:p w:rsidR="006738F9" w:rsidP="006738F9" w:rsidRDefault="006738F9" w14:paraId="0BF2B4D8" w14:textId="77777777">
      <w:pPr>
        <w:rPr>
          <w:b/>
          <w:bCs/>
          <w:sz w:val="32"/>
          <w:szCs w:val="32"/>
          <w:lang w:val="en-US"/>
        </w:rPr>
      </w:pPr>
    </w:p>
    <w:p w:rsidR="00B50F46" w:rsidP="006738F9" w:rsidRDefault="00B50F46" w14:paraId="6C774317" w14:textId="77777777">
      <w:pPr>
        <w:rPr>
          <w:b/>
          <w:bCs/>
          <w:sz w:val="32"/>
          <w:szCs w:val="32"/>
          <w:lang w:val="en-US"/>
        </w:rPr>
      </w:pPr>
    </w:p>
    <w:p w:rsidRPr="006A5A62" w:rsidR="008D5FA1" w:rsidP="3A5849E2" w:rsidRDefault="008D5FA1" w14:paraId="10C10425" w14:textId="3C80AD73">
      <w:pPr>
        <w:rPr>
          <w:b w:val="1"/>
          <w:bCs w:val="1"/>
          <w:sz w:val="28"/>
          <w:szCs w:val="28"/>
          <w:lang w:val="en-US"/>
        </w:rPr>
      </w:pPr>
      <w:r w:rsidRPr="3A5849E2" w:rsidR="3C5BD683">
        <w:rPr>
          <w:b w:val="1"/>
          <w:bCs w:val="1"/>
          <w:sz w:val="28"/>
          <w:szCs w:val="28"/>
          <w:lang w:val="en-US"/>
        </w:rPr>
        <w:t>Global investment is rising again. But it</w:t>
      </w:r>
      <w:r w:rsidRPr="3A5849E2" w:rsidR="6E8ABB73">
        <w:rPr>
          <w:b w:val="1"/>
          <w:bCs w:val="1"/>
          <w:sz w:val="28"/>
          <w:szCs w:val="28"/>
          <w:lang w:val="en-US"/>
        </w:rPr>
        <w:t>’s</w:t>
      </w:r>
      <w:r w:rsidRPr="3A5849E2" w:rsidR="3C5BD683">
        <w:rPr>
          <w:b w:val="1"/>
          <w:bCs w:val="1"/>
          <w:sz w:val="28"/>
          <w:szCs w:val="28"/>
          <w:lang w:val="en-US"/>
        </w:rPr>
        <w:t xml:space="preserve"> becoming more concentrated, more strategic and less accessible to many developing countries.</w:t>
      </w:r>
    </w:p>
    <w:p w:rsidRPr="008D5FA1" w:rsidR="008D5FA1" w:rsidP="008D5FA1" w:rsidRDefault="008D5FA1" w14:paraId="57C8BE3B" w14:textId="77777777">
      <w:r w:rsidRPr="3A5849E2" w:rsidR="3C5BD683">
        <w:rPr>
          <w:lang w:val="en-US"/>
        </w:rPr>
        <w:t>The recovery remains fragile. Growth is concentrated in a small number of economies and in capital- and technology-intensive sectors.</w:t>
      </w:r>
    </w:p>
    <w:p w:rsidRPr="008D5FA1" w:rsidR="008D5FA1" w:rsidP="008D5FA1" w:rsidRDefault="008D5FA1" w14:paraId="4B36BF84" w14:textId="77777777">
      <w:r w:rsidRPr="3A5849E2" w:rsidR="3C5BD683">
        <w:rPr>
          <w:lang w:val="en-US"/>
        </w:rPr>
        <w:t>Governments are responding with more selective policies. Incentives increasingly target clean energy, digital infrastructure, advanced manufacturing and critical minerals. Screening and conditions on foreign firms are also expanding.</w:t>
      </w:r>
    </w:p>
    <w:p w:rsidRPr="008D5FA1" w:rsidR="008D5FA1" w:rsidP="008D5FA1" w:rsidRDefault="008D5FA1" w14:paraId="0E5DFBE1" w14:textId="77777777">
      <w:r w:rsidRPr="3A5849E2" w:rsidR="3C5BD683">
        <w:rPr>
          <w:lang w:val="en-US"/>
        </w:rPr>
        <w:t>Investment patterns are reshaping global production. Greenfield investment in strategic sectors is rising, while investment in manufacturing outside them is declining. The shift favours economies with strong infrastructure, skilled workers, supplier networks and access to major markets.</w:t>
      </w:r>
    </w:p>
    <w:p w:rsidRPr="008D5FA1" w:rsidR="008D5FA1" w:rsidP="008D5FA1" w:rsidRDefault="008D5FA1" w14:paraId="4694A0CF" w14:textId="11D0584F">
      <w:r w:rsidRPr="3A5849E2" w:rsidR="3C5BD683">
        <w:rPr>
          <w:lang w:val="en-US"/>
        </w:rPr>
        <w:t>Most developing countries can</w:t>
      </w:r>
      <w:r w:rsidRPr="3A5849E2" w:rsidR="6E8ABB73">
        <w:rPr>
          <w:lang w:val="en-US"/>
        </w:rPr>
        <w:t>’t</w:t>
      </w:r>
      <w:r w:rsidRPr="3A5849E2" w:rsidR="3C5BD683">
        <w:rPr>
          <w:lang w:val="en-US"/>
        </w:rPr>
        <w:t xml:space="preserve"> match the subsidy programmes of major economies. They need realistic entry points, stronger foundations and regional cooperation to compete and increase investment’s development impact.</w:t>
      </w:r>
    </w:p>
    <w:p w:rsidR="00C57066" w:rsidP="00C57066" w:rsidRDefault="00C57066" w14:paraId="72167A94" w14:textId="0999A423">
      <w:pPr>
        <w:jc w:val="right"/>
      </w:pPr>
      <w:r w:rsidRPr="00C57066">
        <w:t>“</w:t>
      </w:r>
      <w:r w:rsidRPr="00C57066">
        <w:rPr>
          <w:i/>
          <w:iCs/>
        </w:rPr>
        <w:t>Whether investment becomes an engine of shared development or a driver of deeper divergence will turn on the choices we make today.</w:t>
      </w:r>
      <w:r w:rsidRPr="00C57066">
        <w:t>”</w:t>
      </w:r>
    </w:p>
    <w:p w:rsidRPr="00C57066" w:rsidR="00C57066" w:rsidP="00C57066" w:rsidRDefault="00C57066" w14:paraId="6EDBD03A" w14:textId="66F183B3">
      <w:pPr>
        <w:jc w:val="right"/>
        <w:rPr>
          <w:i/>
          <w:iCs/>
        </w:rPr>
      </w:pPr>
      <w:r w:rsidRPr="00C57066">
        <w:rPr>
          <w:i/>
          <w:iCs/>
        </w:rPr>
        <w:t>Pedro Manuel Moreno</w:t>
      </w:r>
      <w:r w:rsidRPr="00C57066">
        <w:rPr>
          <w:i/>
          <w:iCs/>
        </w:rPr>
        <w:br/>
      </w:r>
      <w:r w:rsidRPr="00C57066">
        <w:rPr>
          <w:i/>
          <w:iCs/>
        </w:rPr>
        <w:t>Acting Secretary-General of UN</w:t>
      </w:r>
      <w:r w:rsidR="00AC1EE8">
        <w:rPr>
          <w:i/>
          <w:iCs/>
        </w:rPr>
        <w:t xml:space="preserve"> Trade and Development (UN</w:t>
      </w:r>
      <w:r w:rsidRPr="00C57066">
        <w:rPr>
          <w:i/>
          <w:iCs/>
        </w:rPr>
        <w:t>CTAD</w:t>
      </w:r>
      <w:r w:rsidR="00AC1EE8">
        <w:rPr>
          <w:i/>
          <w:iCs/>
        </w:rPr>
        <w:t>)</w:t>
      </w:r>
    </w:p>
    <w:p w:rsidR="004D4E08" w:rsidP="00D364D4" w:rsidRDefault="004D4E08" w14:paraId="5BAD9E96" w14:textId="77777777">
      <w:pPr>
        <w:rPr>
          <w:b/>
          <w:bCs/>
          <w:sz w:val="32"/>
          <w:szCs w:val="32"/>
        </w:rPr>
      </w:pPr>
    </w:p>
    <w:p w:rsidR="004D4E08" w:rsidP="00D364D4" w:rsidRDefault="004D4E08" w14:paraId="7C64E9D9" w14:textId="77777777">
      <w:pPr>
        <w:rPr>
          <w:b/>
          <w:bCs/>
          <w:sz w:val="32"/>
          <w:szCs w:val="32"/>
        </w:rPr>
      </w:pPr>
      <w:r w:rsidRPr="004D4E08">
        <w:rPr>
          <w:b/>
          <w:bCs/>
          <w:sz w:val="32"/>
          <w:szCs w:val="32"/>
        </w:rPr>
        <w:t>Where is investment flowing</w:t>
      </w:r>
      <w:r>
        <w:rPr>
          <w:b/>
          <w:bCs/>
          <w:sz w:val="32"/>
          <w:szCs w:val="32"/>
        </w:rPr>
        <w:t>?</w:t>
      </w:r>
      <w:r w:rsidRPr="004D4E08">
        <w:rPr>
          <w:b/>
          <w:bCs/>
          <w:sz w:val="32"/>
          <w:szCs w:val="32"/>
        </w:rPr>
        <w:t xml:space="preserve"> </w:t>
      </w:r>
    </w:p>
    <w:p w:rsidR="004D4E08" w:rsidP="3A5849E2" w:rsidRDefault="004D4E08" w14:paraId="2E2EA318" w14:textId="322624F7">
      <w:pPr>
        <w:rPr>
          <w:b w:val="1"/>
          <w:bCs w:val="1"/>
          <w:sz w:val="32"/>
          <w:szCs w:val="32"/>
          <w:lang w:val="en-US"/>
        </w:rPr>
      </w:pPr>
      <w:r w:rsidRPr="3A5849E2" w:rsidR="3A42C36C">
        <w:rPr>
          <w:b w:val="1"/>
          <w:bCs w:val="1"/>
          <w:sz w:val="32"/>
          <w:szCs w:val="32"/>
          <w:lang w:val="en-US"/>
        </w:rPr>
        <w:t>A</w:t>
      </w:r>
      <w:r w:rsidRPr="3A5849E2" w:rsidR="3A42C36C">
        <w:rPr>
          <w:b w:val="1"/>
          <w:bCs w:val="1"/>
          <w:sz w:val="32"/>
          <w:szCs w:val="32"/>
          <w:lang w:val="en-US"/>
        </w:rPr>
        <w:t>nd who is benefiting from the recovery?</w:t>
      </w:r>
    </w:p>
    <w:p w:rsidRPr="000754DF" w:rsidR="00D364D4" w:rsidP="00D364D4" w:rsidRDefault="00B23DDF" w14:paraId="79E2A7CA" w14:textId="31E2F5A5">
      <w:pPr>
        <w:rPr>
          <w:b/>
          <w:bCs/>
          <w:sz w:val="32"/>
          <w:szCs w:val="32"/>
        </w:rPr>
      </w:pPr>
      <w:r>
        <w:rPr>
          <w:b/>
          <w:bCs/>
          <w:sz w:val="32"/>
          <w:szCs w:val="32"/>
        </w:rPr>
        <w:br/>
      </w:r>
      <w:r w:rsidR="00C3629C">
        <w:rPr>
          <w:b/>
          <w:bCs/>
          <w:sz w:val="32"/>
          <w:szCs w:val="32"/>
        </w:rPr>
        <w:t>Chapter 1</w:t>
      </w:r>
      <w:r>
        <w:rPr>
          <w:b/>
          <w:bCs/>
          <w:sz w:val="32"/>
          <w:szCs w:val="32"/>
        </w:rPr>
        <w:br/>
      </w:r>
      <w:r w:rsidRPr="000754DF" w:rsidR="00D364D4">
        <w:rPr>
          <w:b/>
          <w:bCs/>
          <w:sz w:val="32"/>
          <w:szCs w:val="32"/>
        </w:rPr>
        <w:t>International investment trends</w:t>
      </w:r>
    </w:p>
    <w:p w:rsidR="00D364D4" w:rsidP="00D364D4" w:rsidRDefault="00D364D4" w14:paraId="074BFC21" w14:textId="77777777">
      <w:pPr>
        <w:rPr>
          <w:b/>
          <w:bCs/>
          <w:sz w:val="32"/>
          <w:szCs w:val="32"/>
        </w:rPr>
      </w:pPr>
      <w:r w:rsidRPr="000754DF">
        <w:rPr>
          <w:b/>
          <w:bCs/>
          <w:sz w:val="32"/>
          <w:szCs w:val="32"/>
        </w:rPr>
        <w:t>Global investment rises, but the recovery is narrow and fragile</w:t>
      </w:r>
    </w:p>
    <w:p w:rsidRPr="000754DF" w:rsidR="0061167D" w:rsidP="3A5849E2" w:rsidRDefault="0061167D" w14:paraId="04548F20" w14:textId="26E10899">
      <w:pPr>
        <w:rPr>
          <w:b w:val="1"/>
          <w:bCs w:val="1"/>
          <w:sz w:val="32"/>
          <w:szCs w:val="32"/>
          <w:lang w:val="en-US"/>
        </w:rPr>
      </w:pPr>
      <w:r w:rsidRPr="3A5849E2" w:rsidR="4A6AC73A">
        <w:rPr>
          <w:rStyle w:val="Strong"/>
          <w:highlight w:val="green"/>
          <w:lang w:val="en-US"/>
        </w:rPr>
        <w:t>The takeaway:</w:t>
      </w:r>
      <w:r w:rsidRPr="3A5849E2" w:rsidR="4A6AC73A">
        <w:rPr>
          <w:highlight w:val="green"/>
          <w:lang w:val="en-US"/>
        </w:rPr>
        <w:t xml:space="preserve"> Global investment </w:t>
      </w:r>
      <w:r w:rsidRPr="3A5849E2" w:rsidR="730AF2C0">
        <w:rPr>
          <w:highlight w:val="green"/>
          <w:lang w:val="en-US"/>
        </w:rPr>
        <w:t>is up</w:t>
      </w:r>
      <w:r w:rsidRPr="3A5849E2" w:rsidR="4A6AC73A">
        <w:rPr>
          <w:highlight w:val="green"/>
          <w:lang w:val="en-US"/>
        </w:rPr>
        <w:t>, but growth is increasingly concentrated in a narrow group of economies, projects and sectors. Broadening its development impact remains the central challenge.</w:t>
      </w:r>
    </w:p>
    <w:p w:rsidRPr="00543B17" w:rsidR="00D364D4" w:rsidP="3A5849E2" w:rsidRDefault="00D364D4" w14:paraId="09142854" w14:textId="0C55E55A">
      <w:pPr>
        <w:rPr>
          <w:b w:val="1"/>
          <w:bCs w:val="1"/>
          <w:sz w:val="28"/>
          <w:szCs w:val="28"/>
          <w:lang w:val="en-US"/>
        </w:rPr>
      </w:pPr>
      <w:r w:rsidRPr="3A5849E2" w:rsidR="6A2E361F">
        <w:rPr>
          <w:b w:val="1"/>
          <w:bCs w:val="1"/>
          <w:sz w:val="28"/>
          <w:szCs w:val="28"/>
          <w:lang w:val="en-US"/>
        </w:rPr>
        <w:t>Global foreign direct investment (FDI) rose</w:t>
      </w:r>
      <w:r w:rsidRPr="3A5849E2" w:rsidR="08676BDF">
        <w:rPr>
          <w:b w:val="1"/>
          <w:bCs w:val="1"/>
          <w:sz w:val="28"/>
          <w:szCs w:val="28"/>
          <w:lang w:val="en-US"/>
        </w:rPr>
        <w:t xml:space="preserve"> 6% </w:t>
      </w:r>
      <w:r w:rsidRPr="3A5849E2" w:rsidR="56777C46">
        <w:rPr>
          <w:b w:val="1"/>
          <w:bCs w:val="1"/>
          <w:sz w:val="28"/>
          <w:szCs w:val="28"/>
          <w:lang w:val="en-US"/>
        </w:rPr>
        <w:t>to $1.6 trillion</w:t>
      </w:r>
      <w:r w:rsidRPr="3A5849E2" w:rsidR="6A2E361F">
        <w:rPr>
          <w:b w:val="1"/>
          <w:bCs w:val="1"/>
          <w:sz w:val="28"/>
          <w:szCs w:val="28"/>
          <w:lang w:val="en-US"/>
        </w:rPr>
        <w:t xml:space="preserve"> in 2025, but the recovery remained fragile. Excluding conduit flows through major European financial centres, the increase was 4% after two consecutive years of decline.</w:t>
      </w:r>
    </w:p>
    <w:p w:rsidRPr="00D364D4" w:rsidR="00D364D4" w:rsidP="00D364D4" w:rsidRDefault="00D364D4" w14:paraId="655BC3AE" w14:textId="77777777">
      <w:r w:rsidRPr="3A5849E2" w:rsidR="6A2E361F">
        <w:rPr>
          <w:lang w:val="en-US"/>
        </w:rPr>
        <w:t xml:space="preserve">Developed economies received $723 billion, up 11%, while developing economies received $901 billion, up 2%. </w:t>
      </w:r>
      <w:r w:rsidRPr="3A5849E2" w:rsidR="6A2E361F">
        <w:rPr>
          <w:lang w:val="en-US"/>
        </w:rPr>
        <w:t>High-income economies accounted for most of the increase.</w:t>
      </w:r>
    </w:p>
    <w:p w:rsidR="00D364D4" w:rsidP="3A5849E2" w:rsidRDefault="000754DF" w14:paraId="10EDF231" w14:textId="2DC03B19">
      <w:pPr>
        <w:rPr>
          <w:i w:val="1"/>
          <w:iCs w:val="1"/>
          <w:lang w:val="en-US"/>
        </w:rPr>
      </w:pPr>
      <w:r w:rsidRPr="3A5849E2" w:rsidR="7530C727">
        <w:rPr>
          <w:b w:val="1"/>
          <w:bCs w:val="1"/>
          <w:highlight w:val="yellow"/>
          <w:lang w:val="en-US"/>
        </w:rPr>
        <w:t>FIGURE I.2</w:t>
      </w:r>
      <w:r>
        <w:br/>
      </w:r>
      <w:r w:rsidRPr="3A5849E2" w:rsidR="6A2E361F">
        <w:rPr>
          <w:b w:val="1"/>
          <w:bCs w:val="1"/>
          <w:highlight w:val="yellow"/>
          <w:lang w:val="en-US"/>
        </w:rPr>
        <w:t xml:space="preserve">Foreign investment growth </w:t>
      </w:r>
      <w:r w:rsidRPr="3A5849E2" w:rsidR="6655B354">
        <w:rPr>
          <w:b w:val="1"/>
          <w:bCs w:val="1"/>
          <w:highlight w:val="yellow"/>
          <w:lang w:val="en-US"/>
        </w:rPr>
        <w:t xml:space="preserve">is concentrated in </w:t>
      </w:r>
      <w:r w:rsidRPr="3A5849E2" w:rsidR="6A2E361F">
        <w:rPr>
          <w:b w:val="1"/>
          <w:bCs w:val="1"/>
          <w:highlight w:val="yellow"/>
          <w:lang w:val="en-US"/>
        </w:rPr>
        <w:t>developed economies</w:t>
      </w:r>
      <w:r>
        <w:br/>
      </w:r>
      <w:r w:rsidRPr="3A5849E2" w:rsidR="6A2E361F">
        <w:rPr>
          <w:i w:val="1"/>
          <w:iCs w:val="1"/>
          <w:highlight w:val="yellow"/>
          <w:lang w:val="en-US"/>
        </w:rPr>
        <w:t>Foreign direct investment inflows, by economic grouping and income level, billions of dollars and percentage change, 2024</w:t>
      </w:r>
      <w:r w:rsidRPr="3A5849E2" w:rsidR="5076E34C">
        <w:rPr>
          <w:i w:val="1"/>
          <w:iCs w:val="1"/>
          <w:highlight w:val="yellow"/>
          <w:lang w:val="en-US"/>
        </w:rPr>
        <w:t>–</w:t>
      </w:r>
      <w:r w:rsidRPr="3A5849E2" w:rsidR="6A2E361F">
        <w:rPr>
          <w:i w:val="1"/>
          <w:iCs w:val="1"/>
          <w:highlight w:val="yellow"/>
          <w:lang w:val="en-US"/>
        </w:rPr>
        <w:t>2025</w:t>
      </w:r>
    </w:p>
    <w:p w:rsidRPr="000754DF" w:rsidR="00300823" w:rsidP="00D364D4" w:rsidRDefault="00300823" w14:paraId="1CA58A61" w14:textId="0360853B">
      <w:pPr>
        <w:rPr>
          <w:b/>
          <w:bCs/>
        </w:rPr>
      </w:pPr>
      <w:r w:rsidRPr="00300823">
        <w:rPr>
          <w:b/>
          <w:bCs/>
          <w:noProof/>
        </w:rPr>
        <w:drawing>
          <wp:inline distT="0" distB="0" distL="0" distR="0" wp14:anchorId="28E3C8F4" wp14:editId="6A67EE31">
            <wp:extent cx="5052753" cy="2905125"/>
            <wp:effectExtent l="0" t="0" r="0" b="0"/>
            <wp:docPr id="62532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1091" name=""/>
                    <pic:cNvPicPr/>
                  </pic:nvPicPr>
                  <pic:blipFill>
                    <a:blip r:embed="rId5"/>
                    <a:stretch>
                      <a:fillRect/>
                    </a:stretch>
                  </pic:blipFill>
                  <pic:spPr>
                    <a:xfrm>
                      <a:off x="0" y="0"/>
                      <a:ext cx="5060746" cy="2909721"/>
                    </a:xfrm>
                    <a:prstGeom prst="rect">
                      <a:avLst/>
                    </a:prstGeom>
                  </pic:spPr>
                </pic:pic>
              </a:graphicData>
            </a:graphic>
          </wp:inline>
        </w:drawing>
      </w:r>
    </w:p>
    <w:p w:rsidRPr="00D364D4" w:rsidR="00D364D4" w:rsidP="00D364D4" w:rsidRDefault="00D364D4" w14:paraId="1370EED6" w14:textId="77777777">
      <w:r w:rsidRPr="3A5849E2" w:rsidR="6A2E361F">
        <w:rPr>
          <w:lang w:val="en-US"/>
        </w:rPr>
        <w:t xml:space="preserve">Investment also became more concentrated. </w:t>
      </w:r>
      <w:r w:rsidRPr="3A5849E2" w:rsidR="6A2E361F">
        <w:rPr>
          <w:b w:val="1"/>
          <w:bCs w:val="1"/>
          <w:lang w:val="en-US"/>
        </w:rPr>
        <w:t>The top 20 host economies received more than 80% of global inflows.</w:t>
      </w:r>
      <w:r w:rsidRPr="3A5849E2" w:rsidR="6A2E361F">
        <w:rPr>
          <w:lang w:val="en-US"/>
        </w:rPr>
        <w:t xml:space="preserve"> The United States remained the largest destination, receiving $277 billion.</w:t>
      </w:r>
    </w:p>
    <w:p w:rsidR="00D364D4" w:rsidP="00D364D4" w:rsidRDefault="000754DF" w14:paraId="55EBFA06" w14:textId="1965EF25">
      <w:pPr>
        <w:rPr>
          <w:i/>
          <w:iCs/>
        </w:rPr>
      </w:pPr>
      <w:r w:rsidRPr="000754DF">
        <w:rPr>
          <w:b/>
          <w:bCs/>
          <w:highlight w:val="yellow"/>
        </w:rPr>
        <w:t>FIGURE I.4</w:t>
      </w:r>
      <w:r w:rsidRPr="000754DF">
        <w:rPr>
          <w:b/>
          <w:bCs/>
          <w:highlight w:val="yellow"/>
        </w:rPr>
        <w:br/>
      </w:r>
      <w:r w:rsidRPr="000754DF" w:rsidR="00D364D4">
        <w:rPr>
          <w:b/>
          <w:bCs/>
          <w:highlight w:val="yellow"/>
        </w:rPr>
        <w:t>Where foreign investment flows: Top 10 destination economies</w:t>
      </w:r>
      <w:r w:rsidRPr="000754DF">
        <w:rPr>
          <w:b/>
          <w:bCs/>
          <w:highlight w:val="yellow"/>
        </w:rPr>
        <w:br/>
      </w:r>
      <w:r w:rsidRPr="000754DF" w:rsidR="00D364D4">
        <w:rPr>
          <w:i/>
          <w:iCs/>
          <w:highlight w:val="yellow"/>
        </w:rPr>
        <w:t>Foreign direct investment inflows, top 10 destination economies, billions of dollars, 2025</w:t>
      </w:r>
    </w:p>
    <w:p w:rsidRPr="000754DF" w:rsidR="001B5BB3" w:rsidP="00D364D4" w:rsidRDefault="001B5BB3" w14:paraId="6A9C3C5A" w14:textId="6251C712">
      <w:pPr>
        <w:rPr>
          <w:b/>
          <w:bCs/>
        </w:rPr>
      </w:pPr>
      <w:r w:rsidRPr="001B5BB3">
        <w:rPr>
          <w:b/>
          <w:bCs/>
          <w:noProof/>
        </w:rPr>
        <w:drawing>
          <wp:inline distT="0" distB="0" distL="0" distR="0" wp14:anchorId="764ED5F4" wp14:editId="4972D85E">
            <wp:extent cx="3911801" cy="4140413"/>
            <wp:effectExtent l="0" t="0" r="0" b="0"/>
            <wp:docPr id="193731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16981" name=""/>
                    <pic:cNvPicPr/>
                  </pic:nvPicPr>
                  <pic:blipFill>
                    <a:blip r:embed="rId6"/>
                    <a:stretch>
                      <a:fillRect/>
                    </a:stretch>
                  </pic:blipFill>
                  <pic:spPr>
                    <a:xfrm>
                      <a:off x="0" y="0"/>
                      <a:ext cx="3911801" cy="4140413"/>
                    </a:xfrm>
                    <a:prstGeom prst="rect">
                      <a:avLst/>
                    </a:prstGeom>
                  </pic:spPr>
                </pic:pic>
              </a:graphicData>
            </a:graphic>
          </wp:inline>
        </w:drawing>
      </w:r>
    </w:p>
    <w:p w:rsidRPr="00D364D4" w:rsidR="00D364D4" w:rsidP="00D364D4" w:rsidRDefault="00D364D4" w14:paraId="58E38C9F" w14:textId="2E881A71">
      <w:r w:rsidRPr="00D364D4">
        <w:t>The U</w:t>
      </w:r>
      <w:r w:rsidR="00FB1AC1">
        <w:t>S</w:t>
      </w:r>
      <w:r w:rsidRPr="00D364D4">
        <w:t xml:space="preserve"> was also the largest source of FDI, followed by Japan and China. </w:t>
      </w:r>
      <w:r w:rsidRPr="00D364D4">
        <w:rPr>
          <w:b/>
          <w:bCs/>
        </w:rPr>
        <w:t>The top five source economies accounted for almost half of global outflows.</w:t>
      </w:r>
    </w:p>
    <w:p w:rsidR="00D364D4" w:rsidP="00D364D4" w:rsidRDefault="00E56AA0" w14:paraId="2A3D1BAC" w14:textId="61EDCD11">
      <w:pPr>
        <w:rPr>
          <w:i/>
          <w:iCs/>
        </w:rPr>
      </w:pPr>
      <w:r w:rsidRPr="00E56AA0">
        <w:rPr>
          <w:b/>
          <w:bCs/>
          <w:highlight w:val="yellow"/>
        </w:rPr>
        <w:t>FIGURE I.5</w:t>
      </w:r>
      <w:r w:rsidRPr="00E56AA0">
        <w:rPr>
          <w:b/>
          <w:bCs/>
          <w:highlight w:val="yellow"/>
        </w:rPr>
        <w:br/>
      </w:r>
      <w:r w:rsidRPr="00E56AA0" w:rsidR="00D364D4">
        <w:rPr>
          <w:b/>
          <w:bCs/>
          <w:highlight w:val="yellow"/>
        </w:rPr>
        <w:t>Where foreign investment comes from: Top 10 source economies</w:t>
      </w:r>
      <w:r w:rsidRPr="00E56AA0">
        <w:rPr>
          <w:b/>
          <w:bCs/>
          <w:highlight w:val="yellow"/>
        </w:rPr>
        <w:br/>
      </w:r>
      <w:r w:rsidRPr="00E56AA0" w:rsidR="00D364D4">
        <w:rPr>
          <w:i/>
          <w:iCs/>
          <w:highlight w:val="yellow"/>
        </w:rPr>
        <w:t>Foreign direct investment outflows, top 10 source economies, billions of dollars, 2025</w:t>
      </w:r>
    </w:p>
    <w:p w:rsidRPr="00E56AA0" w:rsidR="006F3DF3" w:rsidP="00D364D4" w:rsidRDefault="006F3DF3" w14:paraId="6788A440" w14:textId="32B73ACE">
      <w:pPr>
        <w:rPr>
          <w:b/>
          <w:bCs/>
        </w:rPr>
      </w:pPr>
      <w:r w:rsidRPr="006F3DF3">
        <w:rPr>
          <w:b/>
          <w:bCs/>
          <w:noProof/>
        </w:rPr>
        <w:drawing>
          <wp:inline distT="0" distB="0" distL="0" distR="0" wp14:anchorId="3A57C787" wp14:editId="548E65F3">
            <wp:extent cx="4178515" cy="2667137"/>
            <wp:effectExtent l="0" t="0" r="0" b="0"/>
            <wp:docPr id="32119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96484" name=""/>
                    <pic:cNvPicPr/>
                  </pic:nvPicPr>
                  <pic:blipFill>
                    <a:blip r:embed="rId7"/>
                    <a:stretch>
                      <a:fillRect/>
                    </a:stretch>
                  </pic:blipFill>
                  <pic:spPr>
                    <a:xfrm>
                      <a:off x="0" y="0"/>
                      <a:ext cx="4178515" cy="2667137"/>
                    </a:xfrm>
                    <a:prstGeom prst="rect">
                      <a:avLst/>
                    </a:prstGeom>
                  </pic:spPr>
                </pic:pic>
              </a:graphicData>
            </a:graphic>
          </wp:inline>
        </w:drawing>
      </w:r>
    </w:p>
    <w:p w:rsidR="00C9376F" w:rsidP="001B3BE5" w:rsidRDefault="00C9376F" w14:paraId="17A3CEFF" w14:textId="77777777">
      <w:r w:rsidRPr="3A5849E2" w:rsidR="55435B53">
        <w:rPr>
          <w:b w:val="1"/>
          <w:bCs w:val="1"/>
          <w:lang w:val="en-US"/>
        </w:rPr>
        <w:t>Europe recorded most of the global increase</w:t>
      </w:r>
      <w:r w:rsidRPr="3A5849E2" w:rsidR="55435B53">
        <w:rPr>
          <w:lang w:val="en-US"/>
        </w:rPr>
        <w:t>. Inflows rose 39% to $285 billion, partly reflecting flows through financial centres and investment hubs.</w:t>
      </w:r>
    </w:p>
    <w:p w:rsidR="001B3BE5" w:rsidP="001B3BE5" w:rsidRDefault="001B3BE5" w14:paraId="13F3CB55" w14:textId="123F0B5E">
      <w:r w:rsidRPr="3A5849E2" w:rsidR="1BF72839">
        <w:rPr>
          <w:b w:val="1"/>
          <w:bCs w:val="1"/>
          <w:lang w:val="en-US"/>
        </w:rPr>
        <w:t>Trends across developing regions diverged</w:t>
      </w:r>
      <w:r w:rsidRPr="3A5849E2" w:rsidR="1BF72839">
        <w:rPr>
          <w:lang w:val="en-US"/>
        </w:rPr>
        <w:t xml:space="preserve">. </w:t>
      </w:r>
    </w:p>
    <w:p w:rsidRPr="00891A9D" w:rsidR="00891A9D" w:rsidP="001B3BE5" w:rsidRDefault="00891A9D" w14:paraId="53184F87" w14:textId="5D563810">
      <w:pPr>
        <w:pStyle w:val="ListParagraph"/>
        <w:numPr>
          <w:ilvl w:val="0"/>
          <w:numId w:val="7"/>
        </w:numPr>
        <w:rPr/>
      </w:pPr>
      <w:r w:rsidRPr="3A5849E2" w:rsidR="54440BEB">
        <w:rPr>
          <w:b w:val="1"/>
          <w:bCs w:val="1"/>
          <w:lang w:val="en-US"/>
        </w:rPr>
        <w:t xml:space="preserve">Developing Asia </w:t>
      </w:r>
      <w:r w:rsidRPr="3A5849E2" w:rsidR="54440BEB">
        <w:rPr>
          <w:lang w:val="en-US"/>
        </w:rPr>
        <w:t xml:space="preserve">remained the largest developing recipient region at $644 billion, but trends shifted within the region. East Asia declined, while South-East Asia became the largest recipient subregion. </w:t>
      </w:r>
      <w:r w:rsidRPr="3A5849E2" w:rsidR="54440BEB">
        <w:rPr>
          <w:b w:val="1"/>
          <w:bCs w:val="1"/>
          <w:lang w:val="en-US"/>
        </w:rPr>
        <w:t>India</w:t>
      </w:r>
      <w:r w:rsidRPr="3A5849E2" w:rsidR="08CA33C4">
        <w:rPr>
          <w:b w:val="1"/>
          <w:bCs w:val="1"/>
          <w:lang w:val="en-US"/>
        </w:rPr>
        <w:t xml:space="preserve">’s </w:t>
      </w:r>
      <w:r w:rsidRPr="3A5849E2" w:rsidR="54440BEB">
        <w:rPr>
          <w:b w:val="1"/>
          <w:bCs w:val="1"/>
          <w:lang w:val="en-US"/>
        </w:rPr>
        <w:t xml:space="preserve">inflows </w:t>
      </w:r>
      <w:r w:rsidRPr="3A5849E2" w:rsidR="49D0836D">
        <w:rPr>
          <w:b w:val="1"/>
          <w:bCs w:val="1"/>
          <w:lang w:val="en-US"/>
        </w:rPr>
        <w:t>rose</w:t>
      </w:r>
      <w:r w:rsidRPr="3A5849E2" w:rsidR="54440BEB">
        <w:rPr>
          <w:b w:val="1"/>
          <w:bCs w:val="1"/>
          <w:lang w:val="en-US"/>
        </w:rPr>
        <w:t xml:space="preserve"> 44% to $39 billion</w:t>
      </w:r>
      <w:r w:rsidRPr="3A5849E2" w:rsidR="54440BEB">
        <w:rPr>
          <w:lang w:val="en-US"/>
        </w:rPr>
        <w:t>.</w:t>
      </w:r>
    </w:p>
    <w:p w:rsidR="007628B4" w:rsidP="001B3BE5" w:rsidRDefault="001B3BE5" w14:paraId="52259375" w14:textId="0B7A6C86">
      <w:pPr>
        <w:pStyle w:val="ListParagraph"/>
        <w:numPr>
          <w:ilvl w:val="0"/>
          <w:numId w:val="7"/>
        </w:numPr>
      </w:pPr>
      <w:r w:rsidRPr="007628B4">
        <w:rPr>
          <w:b/>
          <w:bCs/>
        </w:rPr>
        <w:t>Latin America and the Caribbean</w:t>
      </w:r>
      <w:r w:rsidR="007628B4">
        <w:t xml:space="preserve"> </w:t>
      </w:r>
      <w:r w:rsidRPr="007F55C7" w:rsidR="007F55C7">
        <w:t xml:space="preserve">received about $190 billion, up 14%, led by South America </w:t>
      </w:r>
      <w:r w:rsidR="007F55C7">
        <w:t xml:space="preserve">– </w:t>
      </w:r>
      <w:r w:rsidRPr="007F55C7" w:rsidR="007F55C7">
        <w:rPr>
          <w:b/>
          <w:bCs/>
        </w:rPr>
        <w:t>Brazil</w:t>
      </w:r>
      <w:r w:rsidR="007F55C7">
        <w:t xml:space="preserve"> in particular</w:t>
      </w:r>
      <w:r w:rsidRPr="007F55C7" w:rsidR="007F55C7">
        <w:t>.</w:t>
      </w:r>
    </w:p>
    <w:p w:rsidR="0014556B" w:rsidP="00D364D4" w:rsidRDefault="001B3BE5" w14:paraId="6C161105" w14:textId="77777777">
      <w:pPr>
        <w:pStyle w:val="ListParagraph"/>
        <w:numPr>
          <w:ilvl w:val="0"/>
          <w:numId w:val="7"/>
        </w:numPr>
      </w:pPr>
      <w:r w:rsidRPr="001C4778">
        <w:rPr>
          <w:b/>
          <w:bCs/>
        </w:rPr>
        <w:t>Africa</w:t>
      </w:r>
      <w:r w:rsidRPr="001B3BE5">
        <w:t xml:space="preserve"> received $70 billion</w:t>
      </w:r>
      <w:r w:rsidR="007F55C7">
        <w:t xml:space="preserve">. </w:t>
      </w:r>
      <w:r w:rsidRPr="000B39E0" w:rsidR="000B39E0">
        <w:t>This was down from an exceptional 2024, but still one third above its 2010–2024 average.</w:t>
      </w:r>
    </w:p>
    <w:p w:rsidR="0014556B" w:rsidP="00D364D4" w:rsidRDefault="0014556B" w14:paraId="40D3083C" w14:textId="65EA6448">
      <w:pPr>
        <w:pStyle w:val="ListParagraph"/>
        <w:numPr>
          <w:ilvl w:val="0"/>
          <w:numId w:val="7"/>
        </w:numPr>
        <w:rPr/>
      </w:pPr>
      <w:r w:rsidRPr="3A5849E2" w:rsidR="3A64E797">
        <w:rPr>
          <w:b w:val="1"/>
          <w:bCs w:val="1"/>
          <w:lang w:val="en-US"/>
        </w:rPr>
        <w:t>Least developed countries</w:t>
      </w:r>
      <w:r w:rsidRPr="3A5849E2" w:rsidR="3A64E797">
        <w:rPr>
          <w:lang w:val="en-US"/>
        </w:rPr>
        <w:t xml:space="preserve"> received $43 billion, up 21%. But this represented only 2.7% of global FDI flows and remained concentrated in a few economies.</w:t>
      </w:r>
    </w:p>
    <w:p w:rsidR="00D364D4" w:rsidP="3A5849E2" w:rsidRDefault="00E56AA0" w14:paraId="6EE8FE5E" w14:textId="63EE1CC8">
      <w:pPr>
        <w:rPr>
          <w:i w:val="1"/>
          <w:iCs w:val="1"/>
          <w:lang w:val="en-US"/>
        </w:rPr>
      </w:pPr>
      <w:r w:rsidRPr="3A5849E2" w:rsidR="5076E34C">
        <w:rPr>
          <w:b w:val="1"/>
          <w:bCs w:val="1"/>
          <w:highlight w:val="yellow"/>
          <w:lang w:val="en-US"/>
        </w:rPr>
        <w:t>FIGURE I.7</w:t>
      </w:r>
      <w:r>
        <w:br/>
      </w:r>
      <w:r w:rsidRPr="3A5849E2" w:rsidR="6A2E361F">
        <w:rPr>
          <w:b w:val="1"/>
          <w:bCs w:val="1"/>
          <w:highlight w:val="yellow"/>
          <w:lang w:val="en-US"/>
        </w:rPr>
        <w:t>Europe attracts most of the increase in global foreign investment</w:t>
      </w:r>
      <w:r>
        <w:br/>
      </w:r>
      <w:r w:rsidRPr="3A5849E2" w:rsidR="6A2E361F">
        <w:rPr>
          <w:i w:val="1"/>
          <w:iCs w:val="1"/>
          <w:highlight w:val="yellow"/>
          <w:lang w:val="en-US"/>
        </w:rPr>
        <w:t>Foreign direct investment inflows, by economic grouping and region, billions of dollars and percentage change, 2024</w:t>
      </w:r>
      <w:r w:rsidRPr="3A5849E2" w:rsidR="5076E34C">
        <w:rPr>
          <w:i w:val="1"/>
          <w:iCs w:val="1"/>
          <w:highlight w:val="yellow"/>
          <w:lang w:val="en-US"/>
        </w:rPr>
        <w:t>–</w:t>
      </w:r>
      <w:r w:rsidRPr="3A5849E2" w:rsidR="6A2E361F">
        <w:rPr>
          <w:i w:val="1"/>
          <w:iCs w:val="1"/>
          <w:highlight w:val="yellow"/>
          <w:lang w:val="en-US"/>
        </w:rPr>
        <w:t>2025</w:t>
      </w:r>
    </w:p>
    <w:p w:rsidRPr="00E56AA0" w:rsidR="00140BC0" w:rsidP="00D364D4" w:rsidRDefault="00140BC0" w14:paraId="4467406A" w14:textId="1C2B9B86">
      <w:pPr>
        <w:rPr>
          <w:b/>
          <w:bCs/>
        </w:rPr>
      </w:pPr>
      <w:r w:rsidRPr="00140BC0">
        <w:rPr>
          <w:b/>
          <w:bCs/>
          <w:noProof/>
        </w:rPr>
        <w:drawing>
          <wp:inline distT="0" distB="0" distL="0" distR="0" wp14:anchorId="4FFA168E" wp14:editId="48402C3D">
            <wp:extent cx="3740342" cy="2444876"/>
            <wp:effectExtent l="0" t="0" r="0" b="0"/>
            <wp:docPr id="161482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28083" name=""/>
                    <pic:cNvPicPr/>
                  </pic:nvPicPr>
                  <pic:blipFill>
                    <a:blip r:embed="rId8"/>
                    <a:stretch>
                      <a:fillRect/>
                    </a:stretch>
                  </pic:blipFill>
                  <pic:spPr>
                    <a:xfrm>
                      <a:off x="0" y="0"/>
                      <a:ext cx="3740342" cy="2444876"/>
                    </a:xfrm>
                    <a:prstGeom prst="rect">
                      <a:avLst/>
                    </a:prstGeom>
                  </pic:spPr>
                </pic:pic>
              </a:graphicData>
            </a:graphic>
          </wp:inline>
        </w:drawing>
      </w:r>
    </w:p>
    <w:p w:rsidR="005101BA" w:rsidP="00D364D4" w:rsidRDefault="005101BA" w14:paraId="5731C9D7" w14:textId="77777777">
      <w:r w:rsidRPr="3A5849E2" w:rsidR="746C8872">
        <w:rPr>
          <w:lang w:val="en-US"/>
        </w:rPr>
        <w:t xml:space="preserve">Project indicators remained weak. Cross-border mergers and acquisitions fell 7%. Greenfield announcements stayed near 2024 levels, supported mainly by megaprojects in data centres, oil and gas and semiconductors. International project finance rose </w:t>
      </w:r>
      <w:r w:rsidRPr="3A5849E2" w:rsidR="746C8872">
        <w:rPr>
          <w:lang w:val="en-US"/>
        </w:rPr>
        <w:t>3%, but</w:t>
      </w:r>
      <w:r w:rsidRPr="3A5849E2" w:rsidR="746C8872">
        <w:rPr>
          <w:lang w:val="en-US"/>
        </w:rPr>
        <w:t xml:space="preserve"> remained one quarter below its 2021 peak.</w:t>
      </w:r>
    </w:p>
    <w:p w:rsidR="00265169" w:rsidP="00265169" w:rsidRDefault="00265169" w14:paraId="2EB60571" w14:textId="77777777">
      <w:pPr>
        <w:rPr>
          <w:b/>
          <w:bCs/>
        </w:rPr>
      </w:pPr>
      <w:r w:rsidRPr="00265169">
        <w:rPr>
          <w:b/>
          <w:bCs/>
        </w:rPr>
        <w:t xml:space="preserve">State-owned investors are also gaining ground. </w:t>
      </w:r>
      <w:proofErr w:type="spellStart"/>
      <w:r w:rsidRPr="00265169">
        <w:t>UNCTAD’s</w:t>
      </w:r>
      <w:proofErr w:type="spellEnd"/>
      <w:r w:rsidRPr="00265169">
        <w:t xml:space="preserve"> top 100 non-financial multinationals now include 26 companies with significant State ownership, up from 15 in 2017. Completed cross-border acquisitions by majority State-owned multinationals averaged $85 billion a year from 2021 to 2025. That was nearly double the average from 2015 to 2019.</w:t>
      </w:r>
    </w:p>
    <w:p w:rsidR="00265169" w:rsidP="00265169" w:rsidRDefault="00265169" w14:paraId="0C28914C" w14:textId="5B2B7F0D">
      <w:pPr>
        <w:rPr>
          <w:i/>
          <w:iCs/>
        </w:rPr>
      </w:pPr>
      <w:r w:rsidRPr="00BB22C9">
        <w:rPr>
          <w:b/>
          <w:bCs/>
          <w:highlight w:val="yellow"/>
        </w:rPr>
        <w:t>FIGURE I.26</w:t>
      </w:r>
      <w:r w:rsidRPr="00BB22C9">
        <w:rPr>
          <w:highlight w:val="yellow"/>
        </w:rPr>
        <w:br/>
      </w:r>
      <w:r w:rsidRPr="00BB22C9">
        <w:rPr>
          <w:b/>
          <w:bCs/>
          <w:highlight w:val="yellow"/>
        </w:rPr>
        <w:t xml:space="preserve">State-owned multinationals </w:t>
      </w:r>
      <w:r>
        <w:rPr>
          <w:b/>
          <w:bCs/>
          <w:highlight w:val="yellow"/>
        </w:rPr>
        <w:t>step up</w:t>
      </w:r>
      <w:r w:rsidRPr="00BB22C9">
        <w:rPr>
          <w:b/>
          <w:bCs/>
          <w:highlight w:val="yellow"/>
        </w:rPr>
        <w:t xml:space="preserve"> international acquisitions</w:t>
      </w:r>
      <w:r w:rsidRPr="00BB22C9">
        <w:rPr>
          <w:highlight w:val="yellow"/>
        </w:rPr>
        <w:br/>
      </w:r>
      <w:r w:rsidRPr="00BB22C9">
        <w:rPr>
          <w:i/>
          <w:iCs/>
          <w:highlight w:val="yellow"/>
        </w:rPr>
        <w:t>Net international purchases of equity shares of at least 10% of voting rights by majority State-owned multinational enterprises, billions of dollars</w:t>
      </w:r>
    </w:p>
    <w:p w:rsidRPr="00D364D4" w:rsidR="00265169" w:rsidP="00265169" w:rsidRDefault="00265169" w14:paraId="0B5AD579" w14:textId="77777777">
      <w:r w:rsidRPr="004B1820">
        <w:rPr>
          <w:noProof/>
        </w:rPr>
        <w:drawing>
          <wp:inline distT="0" distB="0" distL="0" distR="0" wp14:anchorId="36BC33A9" wp14:editId="6D16B6C7">
            <wp:extent cx="4153113" cy="2387723"/>
            <wp:effectExtent l="0" t="0" r="0" b="0"/>
            <wp:docPr id="147579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97332" name=""/>
                    <pic:cNvPicPr/>
                  </pic:nvPicPr>
                  <pic:blipFill>
                    <a:blip r:embed="rId9"/>
                    <a:stretch>
                      <a:fillRect/>
                    </a:stretch>
                  </pic:blipFill>
                  <pic:spPr>
                    <a:xfrm>
                      <a:off x="0" y="0"/>
                      <a:ext cx="4153113" cy="2387723"/>
                    </a:xfrm>
                    <a:prstGeom prst="rect">
                      <a:avLst/>
                    </a:prstGeom>
                  </pic:spPr>
                </pic:pic>
              </a:graphicData>
            </a:graphic>
          </wp:inline>
        </w:drawing>
      </w:r>
    </w:p>
    <w:p w:rsidR="00265169" w:rsidP="00D364D4" w:rsidRDefault="00265169" w14:paraId="20259451" w14:textId="77777777"/>
    <w:p w:rsidRPr="00D364D4" w:rsidR="00D364D4" w:rsidP="00D364D4" w:rsidRDefault="00D364D4" w14:paraId="11C2106E" w14:textId="298087DE">
      <w:r w:rsidRPr="3A5849E2" w:rsidR="6A2E361F">
        <w:rPr>
          <w:b w:val="1"/>
          <w:bCs w:val="1"/>
          <w:lang w:val="en-US"/>
        </w:rPr>
        <w:t>Digital infrastructure led growth in investment projects.</w:t>
      </w:r>
      <w:r w:rsidRPr="3A5849E2" w:rsidR="6A2E361F">
        <w:rPr>
          <w:lang w:val="en-US"/>
        </w:rPr>
        <w:t xml:space="preserve"> </w:t>
      </w:r>
      <w:r w:rsidRPr="3A5849E2" w:rsidR="46604E18">
        <w:rPr>
          <w:lang w:val="en-US"/>
        </w:rPr>
        <w:t>Greenfield investment in the sector rose by more than 80%, mainly in data centres.</w:t>
      </w:r>
    </w:p>
    <w:p w:rsidR="00D364D4" w:rsidP="00D364D4" w:rsidRDefault="00E56AA0" w14:paraId="735E60A5" w14:textId="64F259B8">
      <w:pPr>
        <w:rPr>
          <w:i/>
          <w:iCs/>
        </w:rPr>
      </w:pPr>
      <w:r w:rsidRPr="00E56AA0">
        <w:rPr>
          <w:b/>
          <w:bCs/>
          <w:highlight w:val="yellow"/>
        </w:rPr>
        <w:t>FIGURE I.</w:t>
      </w:r>
      <w:r w:rsidR="008C3719">
        <w:rPr>
          <w:b/>
          <w:bCs/>
          <w:highlight w:val="yellow"/>
        </w:rPr>
        <w:t>1</w:t>
      </w:r>
      <w:r w:rsidRPr="00E56AA0">
        <w:rPr>
          <w:b/>
          <w:bCs/>
          <w:highlight w:val="yellow"/>
        </w:rPr>
        <w:t>9</w:t>
      </w:r>
      <w:r w:rsidRPr="00E56AA0">
        <w:rPr>
          <w:b/>
          <w:bCs/>
          <w:highlight w:val="yellow"/>
        </w:rPr>
        <w:br/>
      </w:r>
      <w:r w:rsidRPr="00E56AA0" w:rsidR="00D364D4">
        <w:rPr>
          <w:b/>
          <w:bCs/>
          <w:highlight w:val="yellow"/>
        </w:rPr>
        <w:t>Digital infrastructure leads growth in investment projects</w:t>
      </w:r>
      <w:r w:rsidRPr="00E56AA0">
        <w:rPr>
          <w:b/>
          <w:bCs/>
          <w:highlight w:val="yellow"/>
        </w:rPr>
        <w:br/>
      </w:r>
      <w:r w:rsidRPr="00E56AA0" w:rsidR="00D364D4">
        <w:rPr>
          <w:i/>
          <w:iCs/>
          <w:highlight w:val="yellow"/>
        </w:rPr>
        <w:t>Changes in announced greenfield investment and international project finance values, by sector, billions of dollars, 2024</w:t>
      </w:r>
      <w:r>
        <w:rPr>
          <w:i/>
          <w:iCs/>
          <w:highlight w:val="yellow"/>
        </w:rPr>
        <w:t>–</w:t>
      </w:r>
      <w:r w:rsidRPr="00E56AA0" w:rsidR="00D364D4">
        <w:rPr>
          <w:i/>
          <w:iCs/>
          <w:highlight w:val="yellow"/>
        </w:rPr>
        <w:t>2025</w:t>
      </w:r>
    </w:p>
    <w:p w:rsidRPr="00E56AA0" w:rsidR="0055396D" w:rsidP="00D364D4" w:rsidRDefault="0055396D" w14:paraId="52A5D567" w14:textId="07366BE9">
      <w:pPr>
        <w:rPr>
          <w:b/>
          <w:bCs/>
        </w:rPr>
      </w:pPr>
      <w:r w:rsidRPr="0055396D">
        <w:rPr>
          <w:b/>
          <w:bCs/>
          <w:noProof/>
        </w:rPr>
        <w:drawing>
          <wp:inline distT="0" distB="0" distL="0" distR="0" wp14:anchorId="4DD68549" wp14:editId="39C431D6">
            <wp:extent cx="4095961" cy="1809843"/>
            <wp:effectExtent l="0" t="0" r="0" b="0"/>
            <wp:docPr id="25806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7362" name=""/>
                    <pic:cNvPicPr/>
                  </pic:nvPicPr>
                  <pic:blipFill>
                    <a:blip r:embed="rId10"/>
                    <a:stretch>
                      <a:fillRect/>
                    </a:stretch>
                  </pic:blipFill>
                  <pic:spPr>
                    <a:xfrm>
                      <a:off x="0" y="0"/>
                      <a:ext cx="4095961" cy="1809843"/>
                    </a:xfrm>
                    <a:prstGeom prst="rect">
                      <a:avLst/>
                    </a:prstGeom>
                  </pic:spPr>
                </pic:pic>
              </a:graphicData>
            </a:graphic>
          </wp:inline>
        </w:drawing>
      </w:r>
    </w:p>
    <w:p w:rsidRPr="00D364D4" w:rsidR="00D364D4" w:rsidP="00D364D4" w:rsidRDefault="00D364D4" w14:paraId="3B248CEC" w14:textId="77777777">
      <w:pPr>
        <w:rPr>
          <w:b/>
          <w:bCs/>
        </w:rPr>
      </w:pPr>
      <w:r w:rsidRPr="00D364D4">
        <w:rPr>
          <w:b/>
          <w:bCs/>
        </w:rPr>
        <w:t>Calls to action</w:t>
      </w:r>
    </w:p>
    <w:p w:rsidR="000E5AA6" w:rsidP="000E5AA6" w:rsidRDefault="00D364D4" w14:paraId="528D5E46" w14:textId="77777777">
      <w:pPr>
        <w:pStyle w:val="ListParagraph"/>
        <w:numPr>
          <w:ilvl w:val="0"/>
          <w:numId w:val="8"/>
        </w:numPr>
        <w:rPr/>
      </w:pPr>
      <w:r w:rsidRPr="3A5849E2" w:rsidR="6A2E361F">
        <w:rPr>
          <w:b w:val="1"/>
          <w:bCs w:val="1"/>
          <w:lang w:val="en-US"/>
        </w:rPr>
        <w:t>Target realistic entry points.</w:t>
      </w:r>
      <w:r w:rsidRPr="3A5849E2" w:rsidR="6A2E361F">
        <w:rPr>
          <w:lang w:val="en-US"/>
        </w:rPr>
        <w:t xml:space="preserve"> Developing countries should focus on specific activities, value-chain functions, locations or clusters where competitive advantages can be built.</w:t>
      </w:r>
    </w:p>
    <w:p w:rsidR="000E5AA6" w:rsidP="000E5AA6" w:rsidRDefault="00D364D4" w14:paraId="1C27AD02" w14:textId="77777777">
      <w:pPr>
        <w:pStyle w:val="ListParagraph"/>
        <w:numPr>
          <w:ilvl w:val="0"/>
          <w:numId w:val="8"/>
        </w:numPr>
        <w:rPr/>
      </w:pPr>
      <w:r w:rsidRPr="3A5849E2" w:rsidR="6A2E361F">
        <w:rPr>
          <w:b w:val="1"/>
          <w:bCs w:val="1"/>
          <w:lang w:val="en-US"/>
        </w:rPr>
        <w:t>Remove bottlenecks.</w:t>
      </w:r>
      <w:r w:rsidRPr="3A5849E2" w:rsidR="6A2E361F">
        <w:rPr>
          <w:lang w:val="en-US"/>
        </w:rPr>
        <w:t xml:space="preserve"> Governments should direct public resources towards </w:t>
      </w:r>
      <w:r w:rsidRPr="3A5849E2" w:rsidR="542C6933">
        <w:rPr>
          <w:lang w:val="en-US"/>
        </w:rPr>
        <w:t xml:space="preserve">improving </w:t>
      </w:r>
      <w:r w:rsidRPr="3A5849E2" w:rsidR="6A2E361F">
        <w:rPr>
          <w:lang w:val="en-US"/>
        </w:rPr>
        <w:t>infrastructure, skills, supplier development</w:t>
      </w:r>
      <w:r w:rsidRPr="3A5849E2" w:rsidR="542C6933">
        <w:rPr>
          <w:lang w:val="en-US"/>
        </w:rPr>
        <w:t xml:space="preserve"> and</w:t>
      </w:r>
      <w:r w:rsidRPr="3A5849E2" w:rsidR="6A2E361F">
        <w:rPr>
          <w:lang w:val="en-US"/>
        </w:rPr>
        <w:t xml:space="preserve"> standards </w:t>
      </w:r>
      <w:r w:rsidRPr="3A5849E2" w:rsidR="0912E6D2">
        <w:rPr>
          <w:lang w:val="en-US"/>
        </w:rPr>
        <w:t>to</w:t>
      </w:r>
      <w:r w:rsidRPr="3A5849E2" w:rsidR="6A2E361F">
        <w:rPr>
          <w:lang w:val="en-US"/>
        </w:rPr>
        <w:t xml:space="preserve"> attract </w:t>
      </w:r>
      <w:r w:rsidRPr="3A5849E2" w:rsidR="0912E6D2">
        <w:rPr>
          <w:lang w:val="en-US"/>
        </w:rPr>
        <w:t xml:space="preserve">more </w:t>
      </w:r>
      <w:r w:rsidRPr="3A5849E2" w:rsidR="6A2E361F">
        <w:rPr>
          <w:lang w:val="en-US"/>
        </w:rPr>
        <w:t>private investment.</w:t>
      </w:r>
    </w:p>
    <w:p w:rsidRPr="00D364D4" w:rsidR="00D364D4" w:rsidP="000E5AA6" w:rsidRDefault="000E5AA6" w14:paraId="304A51AD" w14:textId="0D544384">
      <w:pPr>
        <w:pStyle w:val="ListParagraph"/>
        <w:numPr>
          <w:ilvl w:val="0"/>
          <w:numId w:val="8"/>
        </w:numPr>
        <w:rPr/>
      </w:pPr>
      <w:r w:rsidRPr="3A5849E2" w:rsidR="0912E6D2">
        <w:rPr>
          <w:b w:val="1"/>
          <w:bCs w:val="1"/>
          <w:lang w:val="en-US"/>
        </w:rPr>
        <w:t>P</w:t>
      </w:r>
      <w:r w:rsidRPr="3A5849E2" w:rsidR="6A2E361F">
        <w:rPr>
          <w:b w:val="1"/>
          <w:bCs w:val="1"/>
          <w:lang w:val="en-US"/>
        </w:rPr>
        <w:t>rotect viable projects.</w:t>
      </w:r>
      <w:r w:rsidRPr="3A5849E2" w:rsidR="6A2E361F">
        <w:rPr>
          <w:lang w:val="en-US"/>
        </w:rPr>
        <w:t xml:space="preserve"> Investment promotion agencies should strengthen aftercare, investor-retention services and policy advocacy to prevent temporary uncertainty from becoming permanent investment losses.</w:t>
      </w:r>
    </w:p>
    <w:p w:rsidR="00DA612B" w:rsidP="006738F9" w:rsidRDefault="00DA612B" w14:paraId="1553B623" w14:textId="77777777">
      <w:pPr>
        <w:rPr>
          <w:b/>
          <w:bCs/>
          <w:sz w:val="32"/>
          <w:szCs w:val="32"/>
        </w:rPr>
      </w:pPr>
    </w:p>
    <w:p w:rsidRPr="007D2BEC" w:rsidR="006738F9" w:rsidP="006738F9" w:rsidRDefault="002641DD" w14:paraId="0A44172A" w14:textId="7F19A173">
      <w:pPr>
        <w:rPr>
          <w:b/>
          <w:bCs/>
          <w:sz w:val="32"/>
          <w:szCs w:val="32"/>
          <w:highlight w:val="yellow"/>
        </w:rPr>
      </w:pPr>
      <w:r w:rsidRPr="007D2BEC">
        <w:rPr>
          <w:b/>
          <w:bCs/>
          <w:sz w:val="32"/>
          <w:szCs w:val="32"/>
          <w:highlight w:val="yellow"/>
        </w:rPr>
        <w:t>FDI Explorer visualization</w:t>
      </w:r>
    </w:p>
    <w:p w:rsidRPr="007D2BEC" w:rsidR="002641DD" w:rsidP="006738F9" w:rsidRDefault="00D83040" w14:paraId="4DADC38A" w14:textId="7EF1A557">
      <w:pPr>
        <w:rPr>
          <w:b/>
          <w:bCs/>
          <w:sz w:val="32"/>
          <w:szCs w:val="32"/>
          <w:highlight w:val="yellow"/>
        </w:rPr>
      </w:pPr>
      <w:r w:rsidRPr="007D2BEC">
        <w:rPr>
          <w:b/>
          <w:bCs/>
          <w:sz w:val="32"/>
          <w:szCs w:val="32"/>
          <w:highlight w:val="yellow"/>
        </w:rPr>
        <w:t>Th</w:t>
      </w:r>
      <w:r w:rsidRPr="007D2BEC" w:rsidR="007333B3">
        <w:rPr>
          <w:b/>
          <w:bCs/>
          <w:sz w:val="32"/>
          <w:szCs w:val="32"/>
          <w:highlight w:val="yellow"/>
        </w:rPr>
        <w:t>is chart</w:t>
      </w:r>
      <w:r w:rsidRPr="007D2BEC">
        <w:rPr>
          <w:b/>
          <w:bCs/>
          <w:sz w:val="32"/>
          <w:szCs w:val="32"/>
          <w:highlight w:val="yellow"/>
        </w:rPr>
        <w:t xml:space="preserve"> lets you explore </w:t>
      </w:r>
      <w:r w:rsidRPr="007D2BEC" w:rsidR="007333B3">
        <w:rPr>
          <w:b/>
          <w:bCs/>
          <w:sz w:val="32"/>
          <w:szCs w:val="32"/>
          <w:highlight w:val="yellow"/>
        </w:rPr>
        <w:t>FDI</w:t>
      </w:r>
      <w:r w:rsidRPr="007D2BEC">
        <w:rPr>
          <w:b/>
          <w:bCs/>
          <w:sz w:val="32"/>
          <w:szCs w:val="32"/>
          <w:highlight w:val="yellow"/>
        </w:rPr>
        <w:t xml:space="preserve"> flows</w:t>
      </w:r>
      <w:r w:rsidRPr="007D2BEC" w:rsidR="003D5EA8">
        <w:rPr>
          <w:b/>
          <w:bCs/>
          <w:sz w:val="32"/>
          <w:szCs w:val="32"/>
          <w:highlight w:val="yellow"/>
        </w:rPr>
        <w:t xml:space="preserve"> since 1990.</w:t>
      </w:r>
    </w:p>
    <w:p w:rsidRPr="007D2BEC" w:rsidR="006E2129" w:rsidP="006738F9" w:rsidRDefault="001B770B" w14:paraId="0AC24B6F" w14:textId="0DE398D7">
      <w:pPr>
        <w:rPr>
          <w:b/>
          <w:bCs/>
          <w:sz w:val="32"/>
          <w:szCs w:val="32"/>
          <w:highlight w:val="yellow"/>
        </w:rPr>
      </w:pPr>
      <w:r w:rsidRPr="007D2BEC">
        <w:rPr>
          <w:b/>
          <w:bCs/>
          <w:sz w:val="32"/>
          <w:szCs w:val="32"/>
          <w:highlight w:val="yellow"/>
        </w:rPr>
        <w:t>Global FDI</w:t>
      </w:r>
      <w:r w:rsidRPr="007D2BEC" w:rsidR="00AF2E37">
        <w:rPr>
          <w:b/>
          <w:bCs/>
          <w:sz w:val="32"/>
          <w:szCs w:val="32"/>
          <w:highlight w:val="yellow"/>
        </w:rPr>
        <w:t xml:space="preserve"> has </w:t>
      </w:r>
      <w:r w:rsidRPr="007D2BEC" w:rsidR="002B6461">
        <w:rPr>
          <w:b/>
          <w:bCs/>
          <w:sz w:val="32"/>
          <w:szCs w:val="32"/>
          <w:highlight w:val="yellow"/>
        </w:rPr>
        <w:t>fluctuated over time</w:t>
      </w:r>
      <w:r w:rsidRPr="007D2BEC" w:rsidR="00141253">
        <w:rPr>
          <w:b/>
          <w:bCs/>
          <w:sz w:val="32"/>
          <w:szCs w:val="32"/>
          <w:highlight w:val="yellow"/>
        </w:rPr>
        <w:t xml:space="preserve">. </w:t>
      </w:r>
      <w:r w:rsidRPr="007D2BEC" w:rsidR="000A2674">
        <w:rPr>
          <w:b/>
          <w:bCs/>
          <w:sz w:val="32"/>
          <w:szCs w:val="32"/>
          <w:highlight w:val="yellow"/>
        </w:rPr>
        <w:t>But t</w:t>
      </w:r>
      <w:r w:rsidRPr="007D2BEC" w:rsidR="00141253">
        <w:rPr>
          <w:b/>
          <w:bCs/>
          <w:sz w:val="32"/>
          <w:szCs w:val="32"/>
          <w:highlight w:val="yellow"/>
        </w:rPr>
        <w:t xml:space="preserve">he </w:t>
      </w:r>
      <w:r w:rsidRPr="007D2BEC" w:rsidR="002B6461">
        <w:rPr>
          <w:b/>
          <w:bCs/>
          <w:sz w:val="32"/>
          <w:szCs w:val="32"/>
          <w:highlight w:val="yellow"/>
        </w:rPr>
        <w:t>pattern</w:t>
      </w:r>
      <w:r w:rsidRPr="007D2BEC" w:rsidR="000A2674">
        <w:rPr>
          <w:b/>
          <w:bCs/>
          <w:sz w:val="32"/>
          <w:szCs w:val="32"/>
          <w:highlight w:val="yellow"/>
        </w:rPr>
        <w:t>s</w:t>
      </w:r>
      <w:r w:rsidRPr="007D2BEC" w:rsidR="002B6461">
        <w:rPr>
          <w:b/>
          <w:bCs/>
          <w:sz w:val="32"/>
          <w:szCs w:val="32"/>
          <w:highlight w:val="yellow"/>
        </w:rPr>
        <w:t xml:space="preserve"> </w:t>
      </w:r>
      <w:r w:rsidRPr="007D2BEC" w:rsidR="00141253">
        <w:rPr>
          <w:b/>
          <w:bCs/>
          <w:sz w:val="32"/>
          <w:szCs w:val="32"/>
          <w:highlight w:val="yellow"/>
        </w:rPr>
        <w:t>differ</w:t>
      </w:r>
      <w:r w:rsidRPr="007D2BEC" w:rsidR="002B6461">
        <w:rPr>
          <w:b/>
          <w:bCs/>
          <w:sz w:val="32"/>
          <w:szCs w:val="32"/>
          <w:highlight w:val="yellow"/>
        </w:rPr>
        <w:t xml:space="preserve"> </w:t>
      </w:r>
      <w:r w:rsidRPr="007D2BEC" w:rsidR="007F7771">
        <w:rPr>
          <w:b/>
          <w:bCs/>
          <w:sz w:val="32"/>
          <w:szCs w:val="32"/>
          <w:highlight w:val="yellow"/>
        </w:rPr>
        <w:t xml:space="preserve">across </w:t>
      </w:r>
      <w:r w:rsidRPr="007D2BEC" w:rsidR="000A2674">
        <w:rPr>
          <w:b/>
          <w:bCs/>
          <w:sz w:val="32"/>
          <w:szCs w:val="32"/>
          <w:highlight w:val="yellow"/>
        </w:rPr>
        <w:t>region</w:t>
      </w:r>
      <w:r w:rsidRPr="007D2BEC" w:rsidR="007F7771">
        <w:rPr>
          <w:b/>
          <w:bCs/>
          <w:sz w:val="32"/>
          <w:szCs w:val="32"/>
          <w:highlight w:val="yellow"/>
        </w:rPr>
        <w:t>s and</w:t>
      </w:r>
      <w:r w:rsidRPr="007D2BEC" w:rsidR="000A2674">
        <w:rPr>
          <w:b/>
          <w:bCs/>
          <w:sz w:val="32"/>
          <w:szCs w:val="32"/>
          <w:highlight w:val="yellow"/>
        </w:rPr>
        <w:t xml:space="preserve"> econom</w:t>
      </w:r>
      <w:r w:rsidRPr="007D2BEC" w:rsidR="007F7771">
        <w:rPr>
          <w:b/>
          <w:bCs/>
          <w:sz w:val="32"/>
          <w:szCs w:val="32"/>
          <w:highlight w:val="yellow"/>
        </w:rPr>
        <w:t>ies.</w:t>
      </w:r>
    </w:p>
    <w:p w:rsidR="00D83040" w:rsidP="006738F9" w:rsidRDefault="00D83040" w14:paraId="4DF526EC" w14:textId="27B3B5C7">
      <w:pPr>
        <w:rPr>
          <w:b/>
          <w:bCs/>
          <w:sz w:val="32"/>
          <w:szCs w:val="32"/>
        </w:rPr>
      </w:pPr>
      <w:r w:rsidRPr="007D2BEC">
        <w:rPr>
          <w:b/>
          <w:bCs/>
          <w:sz w:val="32"/>
          <w:szCs w:val="32"/>
          <w:highlight w:val="yellow"/>
        </w:rPr>
        <w:t xml:space="preserve">Choose </w:t>
      </w:r>
      <w:r w:rsidRPr="007D2BEC" w:rsidR="00603F27">
        <w:rPr>
          <w:b/>
          <w:bCs/>
          <w:sz w:val="32"/>
          <w:szCs w:val="32"/>
          <w:highlight w:val="yellow"/>
        </w:rPr>
        <w:t xml:space="preserve">a region or </w:t>
      </w:r>
      <w:r w:rsidRPr="007D2BEC" w:rsidR="00DC2007">
        <w:rPr>
          <w:b/>
          <w:bCs/>
          <w:sz w:val="32"/>
          <w:szCs w:val="32"/>
          <w:highlight w:val="yellow"/>
        </w:rPr>
        <w:t>economy to compare trends</w:t>
      </w:r>
      <w:r w:rsidRPr="007D2BEC" w:rsidR="006E2129">
        <w:rPr>
          <w:b/>
          <w:bCs/>
          <w:sz w:val="32"/>
          <w:szCs w:val="32"/>
          <w:highlight w:val="yellow"/>
        </w:rPr>
        <w:t>.</w:t>
      </w:r>
    </w:p>
    <w:p w:rsidRPr="002641DD" w:rsidR="006A3D20" w:rsidP="006738F9" w:rsidRDefault="006A3D20" w14:paraId="23742B0A" w14:textId="77777777">
      <w:pPr>
        <w:rPr>
          <w:b/>
          <w:bCs/>
          <w:sz w:val="32"/>
          <w:szCs w:val="32"/>
        </w:rPr>
      </w:pPr>
    </w:p>
    <w:p w:rsidRPr="00F942E7" w:rsidR="00F942E7" w:rsidP="00F942E7" w:rsidRDefault="00F942E7" w14:paraId="6D2CDF4B" w14:textId="3C412F64">
      <w:pPr>
        <w:rPr>
          <w:b/>
          <w:bCs/>
          <w:sz w:val="32"/>
          <w:szCs w:val="32"/>
        </w:rPr>
      </w:pPr>
      <w:r w:rsidRPr="00F942E7">
        <w:rPr>
          <w:b/>
          <w:bCs/>
          <w:sz w:val="32"/>
          <w:szCs w:val="32"/>
        </w:rPr>
        <w:t>How are governments responding</w:t>
      </w:r>
      <w:r w:rsidR="00DA612B">
        <w:rPr>
          <w:b/>
          <w:bCs/>
          <w:sz w:val="32"/>
          <w:szCs w:val="32"/>
        </w:rPr>
        <w:t xml:space="preserve"> </w:t>
      </w:r>
      <w:r w:rsidR="00140621">
        <w:rPr>
          <w:b/>
          <w:bCs/>
          <w:sz w:val="32"/>
          <w:szCs w:val="32"/>
        </w:rPr>
        <w:t>t</w:t>
      </w:r>
      <w:r w:rsidR="00DA612B">
        <w:rPr>
          <w:b/>
          <w:bCs/>
          <w:sz w:val="32"/>
          <w:szCs w:val="32"/>
        </w:rPr>
        <w:t xml:space="preserve">o </w:t>
      </w:r>
      <w:r w:rsidR="00140621">
        <w:rPr>
          <w:b/>
          <w:bCs/>
          <w:sz w:val="32"/>
          <w:szCs w:val="32"/>
        </w:rPr>
        <w:t>shifts</w:t>
      </w:r>
      <w:r w:rsidR="00EA4C4B">
        <w:rPr>
          <w:b/>
          <w:bCs/>
          <w:sz w:val="32"/>
          <w:szCs w:val="32"/>
        </w:rPr>
        <w:t xml:space="preserve"> in FDI</w:t>
      </w:r>
      <w:r w:rsidRPr="00F942E7">
        <w:rPr>
          <w:b/>
          <w:bCs/>
          <w:sz w:val="32"/>
          <w:szCs w:val="32"/>
        </w:rPr>
        <w:t>?</w:t>
      </w:r>
    </w:p>
    <w:p w:rsidR="00F942E7" w:rsidP="00C3629C" w:rsidRDefault="00F942E7" w14:paraId="25F46DEE" w14:textId="2C5671C5">
      <w:pPr>
        <w:rPr>
          <w:b/>
          <w:bCs/>
          <w:sz w:val="32"/>
          <w:szCs w:val="32"/>
        </w:rPr>
      </w:pPr>
      <w:r w:rsidRPr="00F942E7">
        <w:rPr>
          <w:b/>
          <w:bCs/>
          <w:sz w:val="32"/>
          <w:szCs w:val="32"/>
        </w:rPr>
        <w:t>What does this mean for investment policy?</w:t>
      </w:r>
    </w:p>
    <w:p w:rsidRPr="00C3629C" w:rsidR="00C3629C" w:rsidP="00C3629C" w:rsidRDefault="00B23DDF" w14:paraId="61AC3E49" w14:textId="2417D02B">
      <w:pPr>
        <w:rPr>
          <w:b/>
          <w:bCs/>
          <w:sz w:val="32"/>
          <w:szCs w:val="32"/>
        </w:rPr>
      </w:pPr>
      <w:r>
        <w:rPr>
          <w:b/>
          <w:bCs/>
          <w:sz w:val="32"/>
          <w:szCs w:val="32"/>
        </w:rPr>
        <w:br/>
      </w:r>
      <w:r w:rsidRPr="00C3629C" w:rsidR="00C3629C">
        <w:rPr>
          <w:b/>
          <w:bCs/>
          <w:sz w:val="32"/>
          <w:szCs w:val="32"/>
        </w:rPr>
        <w:t>Chapter 2</w:t>
      </w:r>
      <w:r>
        <w:rPr>
          <w:b/>
          <w:bCs/>
          <w:sz w:val="32"/>
          <w:szCs w:val="32"/>
        </w:rPr>
        <w:br/>
      </w:r>
      <w:r w:rsidRPr="00C3629C" w:rsidR="00C3629C">
        <w:rPr>
          <w:b/>
          <w:bCs/>
          <w:sz w:val="32"/>
          <w:szCs w:val="32"/>
        </w:rPr>
        <w:t>Investment policy trends</w:t>
      </w:r>
    </w:p>
    <w:p w:rsidRPr="00C3629C" w:rsidR="00C3629C" w:rsidP="3A5849E2" w:rsidRDefault="00C3629C" w14:paraId="27DE730E" w14:textId="77777777">
      <w:pPr>
        <w:rPr>
          <w:b w:val="1"/>
          <w:bCs w:val="1"/>
          <w:sz w:val="32"/>
          <w:szCs w:val="32"/>
          <w:lang w:val="en-US"/>
        </w:rPr>
      </w:pPr>
      <w:r w:rsidRPr="3A5849E2" w:rsidR="38906098">
        <w:rPr>
          <w:b w:val="1"/>
          <w:bCs w:val="1"/>
          <w:sz w:val="32"/>
          <w:szCs w:val="32"/>
          <w:lang w:val="en-US"/>
        </w:rPr>
        <w:t>Investment policy becomes more active, targeted and conditional</w:t>
      </w:r>
    </w:p>
    <w:p w:rsidRPr="00C3629C" w:rsidR="00C3629C" w:rsidP="00C3629C" w:rsidRDefault="00C3629C" w14:paraId="1BF09D9B" w14:textId="2328716E">
      <w:r w:rsidRPr="3A5849E2" w:rsidR="38906098">
        <w:rPr>
          <w:b w:val="1"/>
          <w:bCs w:val="1"/>
          <w:highlight w:val="green"/>
          <w:lang w:val="en-US"/>
        </w:rPr>
        <w:t>The takeaway:</w:t>
      </w:r>
      <w:r w:rsidRPr="3A5849E2" w:rsidR="38906098">
        <w:rPr>
          <w:highlight w:val="green"/>
          <w:lang w:val="en-US"/>
        </w:rPr>
        <w:t xml:space="preserve"> Governments </w:t>
      </w:r>
      <w:r w:rsidRPr="3A5849E2" w:rsidR="0161036D">
        <w:rPr>
          <w:highlight w:val="green"/>
          <w:lang w:val="en-US"/>
        </w:rPr>
        <w:t xml:space="preserve">increasingly </w:t>
      </w:r>
      <w:r w:rsidRPr="3A5849E2" w:rsidR="38906098">
        <w:rPr>
          <w:highlight w:val="green"/>
          <w:lang w:val="en-US"/>
        </w:rPr>
        <w:t>want foreign investment on strategic and conditional terms. The challenge is to attract it while preserving policy space, legal certainty and sustainable development.</w:t>
      </w:r>
    </w:p>
    <w:p w:rsidRPr="003A01A2" w:rsidR="00C3629C" w:rsidP="3A5849E2" w:rsidRDefault="00C3629C" w14:paraId="78DAFBA7" w14:textId="77777777">
      <w:pPr>
        <w:rPr>
          <w:b w:val="1"/>
          <w:bCs w:val="1"/>
          <w:sz w:val="28"/>
          <w:szCs w:val="28"/>
          <w:lang w:val="en-US"/>
        </w:rPr>
      </w:pPr>
      <w:r w:rsidRPr="3A5849E2" w:rsidR="38906098">
        <w:rPr>
          <w:b w:val="1"/>
          <w:bCs w:val="1"/>
          <w:sz w:val="28"/>
          <w:szCs w:val="28"/>
          <w:lang w:val="en-US"/>
        </w:rPr>
        <w:t>Governments adopted a record 229 investment policy measures in 2025. Most (73%) were favourable to investors, but increasingly targeted priorities instead of broad openness.</w:t>
      </w:r>
    </w:p>
    <w:p w:rsidR="00C3629C" w:rsidP="00C3629C" w:rsidRDefault="00C3629C" w14:paraId="03F5264A" w14:textId="77777777">
      <w:pPr>
        <w:rPr>
          <w:i/>
          <w:iCs/>
        </w:rPr>
      </w:pPr>
      <w:r w:rsidRPr="00C3629C">
        <w:rPr>
          <w:b/>
          <w:bCs/>
          <w:highlight w:val="yellow"/>
        </w:rPr>
        <w:t>FIGURE II.1</w:t>
      </w:r>
      <w:r w:rsidRPr="00C3629C">
        <w:rPr>
          <w:highlight w:val="yellow"/>
        </w:rPr>
        <w:br/>
      </w:r>
      <w:r w:rsidRPr="00C3629C">
        <w:rPr>
          <w:b/>
          <w:bCs/>
          <w:highlight w:val="yellow"/>
        </w:rPr>
        <w:t>Investment policy measures reach a record high</w:t>
      </w:r>
      <w:r w:rsidRPr="00C3629C">
        <w:rPr>
          <w:highlight w:val="yellow"/>
        </w:rPr>
        <w:br/>
      </w:r>
      <w:r w:rsidRPr="00C3629C">
        <w:rPr>
          <w:i/>
          <w:iCs/>
          <w:highlight w:val="yellow"/>
        </w:rPr>
        <w:t>Investment policy measures, by nature, number, 2016–2025</w:t>
      </w:r>
    </w:p>
    <w:p w:rsidRPr="00C3629C" w:rsidR="007A139E" w:rsidP="00C3629C" w:rsidRDefault="007A139E" w14:paraId="3E4600A7" w14:textId="27D69808">
      <w:r w:rsidRPr="007A139E">
        <w:rPr>
          <w:noProof/>
        </w:rPr>
        <w:drawing>
          <wp:inline distT="0" distB="0" distL="0" distR="0" wp14:anchorId="6E933888" wp14:editId="20EC9A24">
            <wp:extent cx="4597636" cy="2711589"/>
            <wp:effectExtent l="0" t="0" r="0" b="0"/>
            <wp:docPr id="50351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13094" name=""/>
                    <pic:cNvPicPr/>
                  </pic:nvPicPr>
                  <pic:blipFill>
                    <a:blip r:embed="rId11"/>
                    <a:stretch>
                      <a:fillRect/>
                    </a:stretch>
                  </pic:blipFill>
                  <pic:spPr>
                    <a:xfrm>
                      <a:off x="0" y="0"/>
                      <a:ext cx="4597636" cy="2711589"/>
                    </a:xfrm>
                    <a:prstGeom prst="rect">
                      <a:avLst/>
                    </a:prstGeom>
                  </pic:spPr>
                </pic:pic>
              </a:graphicData>
            </a:graphic>
          </wp:inline>
        </w:drawing>
      </w:r>
    </w:p>
    <w:p w:rsidR="00B13699" w:rsidP="00C3629C" w:rsidRDefault="00C3629C" w14:paraId="2B38DD7B" w14:textId="40206271">
      <w:r w:rsidRPr="00C3629C">
        <w:rPr>
          <w:b/>
          <w:bCs/>
        </w:rPr>
        <w:t>The remaining 27% tightened conditions.</w:t>
      </w:r>
      <w:r w:rsidRPr="00C3629C">
        <w:t xml:space="preserve"> </w:t>
      </w:r>
      <w:r w:rsidRPr="00896319" w:rsidR="00896319">
        <w:t xml:space="preserve">Developed economies focused on entry restrictions, especially investment screening. </w:t>
      </w:r>
      <w:r w:rsidRPr="00B13699" w:rsidR="00B13699">
        <w:t>Screening regimes expanded from 21 to 52 economies in a decade. Yet fewer than 1% of reviewed projects were rejected.</w:t>
      </w:r>
    </w:p>
    <w:p w:rsidR="00C3629C" w:rsidP="00C3629C" w:rsidRDefault="00896319" w14:paraId="6ECA98A8" w14:textId="15103E75">
      <w:r w:rsidRPr="3A5849E2" w:rsidR="16E3C2D0">
        <w:rPr>
          <w:lang w:val="en-US"/>
        </w:rPr>
        <w:t>In developing economies, restrictive measures more often affected how foreign firms operated. These included reduced incentives and requirements to use local workers and inputs.</w:t>
      </w:r>
    </w:p>
    <w:p w:rsidR="00C3629C" w:rsidP="00C3629C" w:rsidRDefault="00C3629C" w14:paraId="6D4F5293" w14:textId="77777777">
      <w:pPr>
        <w:rPr>
          <w:i/>
          <w:iCs/>
        </w:rPr>
      </w:pPr>
      <w:r w:rsidRPr="00EB1D3D">
        <w:rPr>
          <w:b/>
          <w:bCs/>
          <w:highlight w:val="yellow"/>
        </w:rPr>
        <w:t>FIGURE II.8</w:t>
      </w:r>
      <w:r w:rsidRPr="00EB1D3D">
        <w:rPr>
          <w:highlight w:val="yellow"/>
        </w:rPr>
        <w:br/>
      </w:r>
      <w:r w:rsidRPr="00EB1D3D">
        <w:rPr>
          <w:b/>
          <w:bCs/>
          <w:highlight w:val="yellow"/>
        </w:rPr>
        <w:t>Developed and developing economies tighten investment rules in different ways</w:t>
      </w:r>
      <w:r w:rsidRPr="00EB1D3D">
        <w:rPr>
          <w:highlight w:val="yellow"/>
        </w:rPr>
        <w:br/>
      </w:r>
      <w:r w:rsidRPr="00EB1D3D">
        <w:rPr>
          <w:i/>
          <w:iCs/>
          <w:highlight w:val="yellow"/>
        </w:rPr>
        <w:t>Restrictive investment policy measures, by type and economic grouping, number, 2016–2020 and 2021–2025</w:t>
      </w:r>
    </w:p>
    <w:p w:rsidRPr="00C3629C" w:rsidR="00DC302F" w:rsidP="00C3629C" w:rsidRDefault="00DC302F" w14:paraId="6CCE9B35" w14:textId="30715436">
      <w:r w:rsidRPr="00DC302F">
        <w:rPr>
          <w:noProof/>
        </w:rPr>
        <w:drawing>
          <wp:inline distT="0" distB="0" distL="0" distR="0" wp14:anchorId="06B87B01" wp14:editId="6E53919A">
            <wp:extent cx="4305521" cy="2883048"/>
            <wp:effectExtent l="0" t="0" r="0" b="0"/>
            <wp:docPr id="98328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87511" name=""/>
                    <pic:cNvPicPr/>
                  </pic:nvPicPr>
                  <pic:blipFill>
                    <a:blip r:embed="rId12"/>
                    <a:stretch>
                      <a:fillRect/>
                    </a:stretch>
                  </pic:blipFill>
                  <pic:spPr>
                    <a:xfrm>
                      <a:off x="0" y="0"/>
                      <a:ext cx="4305521" cy="2883048"/>
                    </a:xfrm>
                    <a:prstGeom prst="rect">
                      <a:avLst/>
                    </a:prstGeom>
                  </pic:spPr>
                </pic:pic>
              </a:graphicData>
            </a:graphic>
          </wp:inline>
        </w:drawing>
      </w:r>
    </w:p>
    <w:p w:rsidRPr="00C3629C" w:rsidR="00C3629C" w:rsidP="00C3629C" w:rsidRDefault="00C3629C" w14:paraId="171FC0D3" w14:textId="6973E3FB">
      <w:r w:rsidRPr="3A5849E2" w:rsidR="38906098">
        <w:rPr>
          <w:b w:val="1"/>
          <w:bCs w:val="1"/>
          <w:lang w:val="en-US"/>
        </w:rPr>
        <w:t>Regional priorities differed.</w:t>
      </w:r>
      <w:r w:rsidRPr="3A5849E2" w:rsidR="38906098">
        <w:rPr>
          <w:lang w:val="en-US"/>
        </w:rPr>
        <w:t xml:space="preserve"> </w:t>
      </w:r>
      <w:r w:rsidRPr="3A5849E2" w:rsidR="4CE3999B">
        <w:rPr>
          <w:lang w:val="en-US"/>
        </w:rPr>
        <w:t xml:space="preserve">Developing Asia focused on industrial upgrading, digital transformation and green investment. Europe focused on screening and industrial </w:t>
      </w:r>
      <w:r w:rsidRPr="3A5849E2" w:rsidR="4CE3999B">
        <w:rPr>
          <w:lang w:val="en-US"/>
        </w:rPr>
        <w:t>policy. Latin America and the Caribbean emphasized investment facilitation and retention.</w:t>
      </w:r>
    </w:p>
    <w:p w:rsidR="00C3629C" w:rsidP="00C3629C" w:rsidRDefault="00C3629C" w14:paraId="38351606" w14:textId="77777777">
      <w:pPr>
        <w:rPr>
          <w:i/>
          <w:iCs/>
        </w:rPr>
      </w:pPr>
      <w:r w:rsidRPr="00EB1D3D">
        <w:rPr>
          <w:b/>
          <w:bCs/>
          <w:highlight w:val="yellow"/>
        </w:rPr>
        <w:t>FIGURE II.3</w:t>
      </w:r>
      <w:r w:rsidRPr="00EB1D3D">
        <w:rPr>
          <w:highlight w:val="yellow"/>
        </w:rPr>
        <w:br/>
      </w:r>
      <w:r w:rsidRPr="00EB1D3D">
        <w:rPr>
          <w:b/>
          <w:bCs/>
          <w:highlight w:val="yellow"/>
        </w:rPr>
        <w:t>Developing Asia leads investment policy activity</w:t>
      </w:r>
      <w:r w:rsidRPr="00EB1D3D">
        <w:rPr>
          <w:highlight w:val="yellow"/>
        </w:rPr>
        <w:br/>
      </w:r>
      <w:r w:rsidRPr="00EB1D3D">
        <w:rPr>
          <w:i/>
          <w:iCs/>
          <w:highlight w:val="yellow"/>
        </w:rPr>
        <w:t>Investment policy measures, by region and nature, number, 2025</w:t>
      </w:r>
    </w:p>
    <w:p w:rsidRPr="00C3629C" w:rsidR="00023144" w:rsidP="00C3629C" w:rsidRDefault="00023144" w14:paraId="66B0C247" w14:textId="6560E5E4">
      <w:r w:rsidRPr="00023144">
        <w:rPr>
          <w:noProof/>
        </w:rPr>
        <w:drawing>
          <wp:inline distT="0" distB="0" distL="0" distR="0" wp14:anchorId="51605536" wp14:editId="77B1DC58">
            <wp:extent cx="4381725" cy="2343270"/>
            <wp:effectExtent l="0" t="0" r="0" b="0"/>
            <wp:docPr id="114396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66032" name=""/>
                    <pic:cNvPicPr/>
                  </pic:nvPicPr>
                  <pic:blipFill>
                    <a:blip r:embed="rId13"/>
                    <a:stretch>
                      <a:fillRect/>
                    </a:stretch>
                  </pic:blipFill>
                  <pic:spPr>
                    <a:xfrm>
                      <a:off x="0" y="0"/>
                      <a:ext cx="4381725" cy="2343270"/>
                    </a:xfrm>
                    <a:prstGeom prst="rect">
                      <a:avLst/>
                    </a:prstGeom>
                  </pic:spPr>
                </pic:pic>
              </a:graphicData>
            </a:graphic>
          </wp:inline>
        </w:drawing>
      </w:r>
    </w:p>
    <w:p w:rsidRPr="00C3629C" w:rsidR="00C3629C" w:rsidP="00C3629C" w:rsidRDefault="00C3629C" w14:paraId="679AC6EF" w14:textId="5E567678">
      <w:r w:rsidRPr="3A5849E2" w:rsidR="38906098">
        <w:rPr>
          <w:b w:val="1"/>
          <w:bCs w:val="1"/>
          <w:lang w:val="en-US"/>
        </w:rPr>
        <w:t>Incentives accounted for half of favourable measures.</w:t>
      </w:r>
      <w:r w:rsidRPr="3A5849E2" w:rsidR="38906098">
        <w:rPr>
          <w:lang w:val="en-US"/>
        </w:rPr>
        <w:t xml:space="preserve"> </w:t>
      </w:r>
      <w:r w:rsidRPr="3A5849E2" w:rsidR="26973EBE">
        <w:rPr>
          <w:lang w:val="en-US"/>
        </w:rPr>
        <w:t>They targeted clean energy, digital infrastructure, advanced manufacturing and critical minerals. Some were linked to jobs, technology, local value addition or environmental goals.</w:t>
      </w:r>
    </w:p>
    <w:p w:rsidR="00C3629C" w:rsidP="3A5849E2" w:rsidRDefault="00C3629C" w14:paraId="37CEA819" w14:textId="77777777">
      <w:pPr>
        <w:rPr>
          <w:i w:val="1"/>
          <w:iCs w:val="1"/>
          <w:lang w:val="en-US"/>
        </w:rPr>
      </w:pPr>
      <w:r w:rsidRPr="3A5849E2" w:rsidR="38906098">
        <w:rPr>
          <w:b w:val="1"/>
          <w:bCs w:val="1"/>
          <w:highlight w:val="yellow"/>
          <w:lang w:val="en-US"/>
        </w:rPr>
        <w:t>FIGURE II.4</w:t>
      </w:r>
      <w:r>
        <w:br/>
      </w:r>
      <w:r w:rsidRPr="3A5849E2" w:rsidR="38906098">
        <w:rPr>
          <w:b w:val="1"/>
          <w:bCs w:val="1"/>
          <w:highlight w:val="yellow"/>
          <w:lang w:val="en-US"/>
        </w:rPr>
        <w:t>Incentives continue to dominate policies favourable to investors</w:t>
      </w:r>
      <w:r>
        <w:br/>
      </w:r>
      <w:r w:rsidRPr="3A5849E2" w:rsidR="38906098">
        <w:rPr>
          <w:i w:val="1"/>
          <w:iCs w:val="1"/>
          <w:highlight w:val="yellow"/>
          <w:lang w:val="en-US"/>
        </w:rPr>
        <w:t>Investment policy measures favourable to investors, by category, percentage, 2016–2025</w:t>
      </w:r>
    </w:p>
    <w:p w:rsidRPr="00C3629C" w:rsidR="00023144" w:rsidP="00C3629C" w:rsidRDefault="00023144" w14:paraId="436CC574" w14:textId="333AF86E">
      <w:r w:rsidRPr="00023144">
        <w:rPr>
          <w:noProof/>
        </w:rPr>
        <w:drawing>
          <wp:inline distT="0" distB="0" distL="0" distR="0" wp14:anchorId="7859730B" wp14:editId="1A9F5A18">
            <wp:extent cx="4330923" cy="3333921"/>
            <wp:effectExtent l="0" t="0" r="0" b="0"/>
            <wp:docPr id="199004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40136" name=""/>
                    <pic:cNvPicPr/>
                  </pic:nvPicPr>
                  <pic:blipFill>
                    <a:blip r:embed="rId14"/>
                    <a:stretch>
                      <a:fillRect/>
                    </a:stretch>
                  </pic:blipFill>
                  <pic:spPr>
                    <a:xfrm>
                      <a:off x="0" y="0"/>
                      <a:ext cx="4330923" cy="3333921"/>
                    </a:xfrm>
                    <a:prstGeom prst="rect">
                      <a:avLst/>
                    </a:prstGeom>
                  </pic:spPr>
                </pic:pic>
              </a:graphicData>
            </a:graphic>
          </wp:inline>
        </w:drawing>
      </w:r>
    </w:p>
    <w:p w:rsidRPr="006804E8" w:rsidR="006804E8" w:rsidP="006804E8" w:rsidRDefault="006804E8" w14:paraId="584D1A5C" w14:textId="77777777">
      <w:r w:rsidRPr="006804E8">
        <w:t>Countries signed 44 investment agreements in 2025. Recent agreements increasingly emphasize facilitation and cooperation.</w:t>
      </w:r>
    </w:p>
    <w:p w:rsidRPr="006804E8" w:rsidR="006804E8" w:rsidP="006804E8" w:rsidRDefault="006804E8" w14:paraId="20F926CC" w14:textId="4F0DC49C">
      <w:r w:rsidRPr="006804E8">
        <w:rPr>
          <w:b/>
          <w:bCs/>
        </w:rPr>
        <w:t>Disputes still rely on older rules</w:t>
      </w:r>
      <w:r w:rsidRPr="006804E8">
        <w:t>. Some 96% of investor-State arbitration cases were based on treaties signed before 2010.</w:t>
      </w:r>
    </w:p>
    <w:p w:rsidR="00C3629C" w:rsidP="00C3629C" w:rsidRDefault="00C3629C" w14:paraId="233F21D4" w14:textId="77777777">
      <w:pPr>
        <w:rPr>
          <w:i/>
          <w:iCs/>
        </w:rPr>
      </w:pPr>
      <w:r w:rsidRPr="00EB1D3D">
        <w:rPr>
          <w:b/>
          <w:bCs/>
          <w:highlight w:val="yellow"/>
        </w:rPr>
        <w:t>FIGURE II.20</w:t>
      </w:r>
      <w:r w:rsidRPr="00EB1D3D">
        <w:rPr>
          <w:highlight w:val="yellow"/>
        </w:rPr>
        <w:br/>
      </w:r>
      <w:r w:rsidRPr="00EB1D3D">
        <w:rPr>
          <w:b/>
          <w:bCs/>
          <w:highlight w:val="yellow"/>
        </w:rPr>
        <w:t>Most investment disputes are still based on older treaties</w:t>
      </w:r>
      <w:r w:rsidRPr="00EB1D3D">
        <w:rPr>
          <w:highlight w:val="yellow"/>
        </w:rPr>
        <w:br/>
      </w:r>
      <w:r w:rsidRPr="00EB1D3D">
        <w:rPr>
          <w:i/>
          <w:iCs/>
          <w:highlight w:val="yellow"/>
        </w:rPr>
        <w:t>Investor-State dispute settlement cases, by signature period of the investment agreement invoked, percentage, 1987–2024 and 2025</w:t>
      </w:r>
    </w:p>
    <w:p w:rsidRPr="00C3629C" w:rsidR="00EF357A" w:rsidP="00C3629C" w:rsidRDefault="00EF357A" w14:paraId="6A699A51" w14:textId="0DF5433D">
      <w:r w:rsidRPr="00EF357A">
        <w:rPr>
          <w:noProof/>
        </w:rPr>
        <w:drawing>
          <wp:inline distT="0" distB="0" distL="0" distR="0" wp14:anchorId="15212160" wp14:editId="330A2BC7">
            <wp:extent cx="4229317" cy="3162463"/>
            <wp:effectExtent l="0" t="0" r="0" b="0"/>
            <wp:docPr id="72443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38839" name=""/>
                    <pic:cNvPicPr/>
                  </pic:nvPicPr>
                  <pic:blipFill>
                    <a:blip r:embed="rId15"/>
                    <a:stretch>
                      <a:fillRect/>
                    </a:stretch>
                  </pic:blipFill>
                  <pic:spPr>
                    <a:xfrm>
                      <a:off x="0" y="0"/>
                      <a:ext cx="4229317" cy="3162463"/>
                    </a:xfrm>
                    <a:prstGeom prst="rect">
                      <a:avLst/>
                    </a:prstGeom>
                  </pic:spPr>
                </pic:pic>
              </a:graphicData>
            </a:graphic>
          </wp:inline>
        </w:drawing>
      </w:r>
    </w:p>
    <w:p w:rsidR="00C3629C" w:rsidP="00C3629C" w:rsidRDefault="00AE471A" w14:paraId="480190B1" w14:textId="1B217719">
      <w:r w:rsidRPr="00AE471A">
        <w:rPr>
          <w:b/>
          <w:bCs/>
        </w:rPr>
        <w:t xml:space="preserve">About 80% of the </w:t>
      </w:r>
      <w:r w:rsidRPr="00AE471A" w:rsidR="00EE0F5B">
        <w:rPr>
          <w:b/>
          <w:bCs/>
        </w:rPr>
        <w:t>new cases were brought against developing countries</w:t>
      </w:r>
      <w:r w:rsidR="00EE0F5B">
        <w:t xml:space="preserve">. </w:t>
      </w:r>
      <w:r w:rsidRPr="00C3629C" w:rsidR="00C3629C">
        <w:t xml:space="preserve">Latin America and the Caribbean accounted for 25 </w:t>
      </w:r>
      <w:r>
        <w:t>of the 56 new cases</w:t>
      </w:r>
      <w:r w:rsidR="00E95034">
        <w:t xml:space="preserve">. About </w:t>
      </w:r>
      <w:r w:rsidRPr="00C3629C" w:rsidR="00C3629C">
        <w:t xml:space="preserve">one third </w:t>
      </w:r>
      <w:r w:rsidR="004C7935">
        <w:t xml:space="preserve">of all cases </w:t>
      </w:r>
      <w:r w:rsidRPr="00C3629C" w:rsidR="00C3629C">
        <w:t xml:space="preserve">concerned extractive industries. </w:t>
      </w:r>
    </w:p>
    <w:p w:rsidR="00C3629C" w:rsidP="00C3629C" w:rsidRDefault="00C3629C" w14:paraId="7F18A57F" w14:textId="77777777">
      <w:pPr>
        <w:rPr>
          <w:i/>
          <w:iCs/>
        </w:rPr>
      </w:pPr>
      <w:r w:rsidRPr="00EB1D3D">
        <w:rPr>
          <w:b/>
          <w:bCs/>
          <w:highlight w:val="yellow"/>
        </w:rPr>
        <w:t>FIGURE II.18</w:t>
      </w:r>
      <w:r w:rsidRPr="00EB1D3D">
        <w:rPr>
          <w:highlight w:val="yellow"/>
        </w:rPr>
        <w:br/>
      </w:r>
      <w:r w:rsidRPr="00EB1D3D">
        <w:rPr>
          <w:b/>
          <w:bCs/>
          <w:highlight w:val="yellow"/>
        </w:rPr>
        <w:t>Developing countries face most new investment disputes</w:t>
      </w:r>
      <w:r w:rsidRPr="00EB1D3D">
        <w:rPr>
          <w:highlight w:val="yellow"/>
        </w:rPr>
        <w:br/>
      </w:r>
      <w:r w:rsidRPr="00EB1D3D">
        <w:rPr>
          <w:i/>
          <w:iCs/>
          <w:highlight w:val="yellow"/>
        </w:rPr>
        <w:t>Investor-State dispute settlement cases, by economic grouping of respondent State, percentage, 1987–2024 and 2025</w:t>
      </w:r>
    </w:p>
    <w:p w:rsidRPr="00C3629C" w:rsidR="00EF357A" w:rsidP="00C3629C" w:rsidRDefault="00EF357A" w14:paraId="78D808E4" w14:textId="3298206B">
      <w:r w:rsidRPr="00EF357A">
        <w:rPr>
          <w:noProof/>
        </w:rPr>
        <w:drawing>
          <wp:inline distT="0" distB="0" distL="0" distR="0" wp14:anchorId="11208111" wp14:editId="270414A3">
            <wp:extent cx="4197566" cy="1828894"/>
            <wp:effectExtent l="0" t="0" r="0" b="0"/>
            <wp:docPr id="57764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1015" name=""/>
                    <pic:cNvPicPr/>
                  </pic:nvPicPr>
                  <pic:blipFill>
                    <a:blip r:embed="rId16"/>
                    <a:stretch>
                      <a:fillRect/>
                    </a:stretch>
                  </pic:blipFill>
                  <pic:spPr>
                    <a:xfrm>
                      <a:off x="0" y="0"/>
                      <a:ext cx="4197566" cy="1828894"/>
                    </a:xfrm>
                    <a:prstGeom prst="rect">
                      <a:avLst/>
                    </a:prstGeom>
                  </pic:spPr>
                </pic:pic>
              </a:graphicData>
            </a:graphic>
          </wp:inline>
        </w:drawing>
      </w:r>
    </w:p>
    <w:p w:rsidRPr="002C3273" w:rsidR="002C3273" w:rsidP="00C3629C" w:rsidRDefault="002C3273" w14:paraId="18213D56" w14:textId="0B2D8C23">
      <w:r w:rsidRPr="002C3273">
        <w:t>This strengthens the case for reform that preserves governments’ room to regulate while giving investors legal certainty.</w:t>
      </w:r>
    </w:p>
    <w:p w:rsidRPr="00C3629C" w:rsidR="00C3629C" w:rsidP="00C3629C" w:rsidRDefault="00C3629C" w14:paraId="6F91F91D" w14:textId="7EEE5434">
      <w:pPr>
        <w:rPr>
          <w:b/>
          <w:bCs/>
        </w:rPr>
      </w:pPr>
      <w:r w:rsidRPr="00C3629C">
        <w:rPr>
          <w:b/>
          <w:bCs/>
        </w:rPr>
        <w:t>Calls to action</w:t>
      </w:r>
    </w:p>
    <w:p w:rsidR="00EB1D3D" w:rsidP="00EB1D3D" w:rsidRDefault="00C3629C" w14:paraId="0F43B363" w14:textId="77777777">
      <w:pPr>
        <w:pStyle w:val="ListParagraph"/>
        <w:numPr>
          <w:ilvl w:val="0"/>
          <w:numId w:val="4"/>
        </w:numPr>
      </w:pPr>
      <w:r w:rsidRPr="00EB1D3D">
        <w:rPr>
          <w:b/>
          <w:bCs/>
        </w:rPr>
        <w:t>Design strategic and competitive policies.</w:t>
      </w:r>
      <w:r w:rsidRPr="00C3629C">
        <w:t xml:space="preserve"> Governments should target priority sectors while improving investor services and implementation.</w:t>
      </w:r>
    </w:p>
    <w:p w:rsidR="00EB1D3D" w:rsidP="00EB1D3D" w:rsidRDefault="00C3629C" w14:paraId="51325278" w14:textId="3319E7AB">
      <w:pPr>
        <w:pStyle w:val="ListParagraph"/>
        <w:numPr>
          <w:ilvl w:val="0"/>
          <w:numId w:val="4"/>
        </w:numPr>
        <w:rPr/>
      </w:pPr>
      <w:r w:rsidRPr="3A5849E2" w:rsidR="38906098">
        <w:rPr>
          <w:b w:val="1"/>
          <w:bCs w:val="1"/>
          <w:lang w:val="en-US"/>
        </w:rPr>
        <w:t xml:space="preserve">Keep screening proportionate, transparent and </w:t>
      </w:r>
      <w:r w:rsidRPr="3A5849E2" w:rsidR="38906098">
        <w:rPr>
          <w:b w:val="1"/>
          <w:bCs w:val="1"/>
          <w:lang w:val="en-US"/>
        </w:rPr>
        <w:t>risk-based</w:t>
      </w:r>
      <w:r w:rsidRPr="3A5849E2" w:rsidR="38906098">
        <w:rPr>
          <w:b w:val="1"/>
          <w:bCs w:val="1"/>
          <w:lang w:val="en-US"/>
        </w:rPr>
        <w:t>.</w:t>
      </w:r>
      <w:r w:rsidRPr="3A5849E2" w:rsidR="38906098">
        <w:rPr>
          <w:lang w:val="en-US"/>
        </w:rPr>
        <w:t xml:space="preserve"> Oversight </w:t>
      </w:r>
      <w:r w:rsidRPr="3A5849E2" w:rsidR="42A1C489">
        <w:rPr>
          <w:lang w:val="en-US"/>
        </w:rPr>
        <w:t>should</w:t>
      </w:r>
      <w:r w:rsidRPr="3A5849E2" w:rsidR="38906098">
        <w:rPr>
          <w:lang w:val="en-US"/>
        </w:rPr>
        <w:t xml:space="preserve"> protect sensitive assets without discourag</w:t>
      </w:r>
      <w:r w:rsidRPr="3A5849E2" w:rsidR="42A1C489">
        <w:rPr>
          <w:lang w:val="en-US"/>
        </w:rPr>
        <w:t>ing</w:t>
      </w:r>
      <w:r w:rsidRPr="3A5849E2" w:rsidR="38906098">
        <w:rPr>
          <w:lang w:val="en-US"/>
        </w:rPr>
        <w:t xml:space="preserve"> productive investment.</w:t>
      </w:r>
    </w:p>
    <w:p w:rsidRPr="00C3629C" w:rsidR="00C3629C" w:rsidP="00EB1D3D" w:rsidRDefault="00C3629C" w14:paraId="1BA60190" w14:textId="3B9EDE16">
      <w:pPr>
        <w:pStyle w:val="ListParagraph"/>
        <w:numPr>
          <w:ilvl w:val="0"/>
          <w:numId w:val="4"/>
        </w:numPr>
        <w:rPr/>
      </w:pPr>
      <w:r w:rsidRPr="3A5849E2" w:rsidR="38906098">
        <w:rPr>
          <w:b w:val="1"/>
          <w:bCs w:val="1"/>
          <w:lang w:val="en-US"/>
        </w:rPr>
        <w:t>Accelerate investment agreement</w:t>
      </w:r>
      <w:r w:rsidRPr="3A5849E2" w:rsidR="0E37A68D">
        <w:rPr>
          <w:b w:val="1"/>
          <w:bCs w:val="1"/>
          <w:lang w:val="en-US"/>
        </w:rPr>
        <w:t xml:space="preserve"> reform</w:t>
      </w:r>
      <w:r w:rsidRPr="3A5849E2" w:rsidR="38906098">
        <w:rPr>
          <w:b w:val="1"/>
          <w:bCs w:val="1"/>
          <w:lang w:val="en-US"/>
        </w:rPr>
        <w:t>.</w:t>
      </w:r>
      <w:r w:rsidRPr="3A5849E2" w:rsidR="38906098">
        <w:rPr>
          <w:lang w:val="en-US"/>
        </w:rPr>
        <w:t xml:space="preserve"> </w:t>
      </w:r>
      <w:r w:rsidRPr="3A5849E2" w:rsidR="0E37A68D">
        <w:rPr>
          <w:lang w:val="en-US"/>
        </w:rPr>
        <w:t>P</w:t>
      </w:r>
      <w:r w:rsidRPr="3A5849E2" w:rsidR="38906098">
        <w:rPr>
          <w:lang w:val="en-US"/>
        </w:rPr>
        <w:t xml:space="preserve">rotect </w:t>
      </w:r>
      <w:r w:rsidRPr="3A5849E2" w:rsidR="0E37A68D">
        <w:rPr>
          <w:lang w:val="en-US"/>
        </w:rPr>
        <w:t>s</w:t>
      </w:r>
      <w:r w:rsidRPr="3A5849E2" w:rsidR="38906098">
        <w:rPr>
          <w:lang w:val="en-US"/>
        </w:rPr>
        <w:t xml:space="preserve">tates’ right to regulate while </w:t>
      </w:r>
      <w:r w:rsidRPr="3A5849E2" w:rsidR="0E37A68D">
        <w:rPr>
          <w:lang w:val="en-US"/>
        </w:rPr>
        <w:t>giving</w:t>
      </w:r>
      <w:r w:rsidRPr="3A5849E2" w:rsidR="38906098">
        <w:rPr>
          <w:lang w:val="en-US"/>
        </w:rPr>
        <w:t xml:space="preserve"> investors legal certainty and </w:t>
      </w:r>
      <w:r w:rsidRPr="3A5849E2" w:rsidR="456D2F97">
        <w:rPr>
          <w:lang w:val="en-US"/>
        </w:rPr>
        <w:t>putting</w:t>
      </w:r>
      <w:r w:rsidRPr="3A5849E2" w:rsidR="38906098">
        <w:rPr>
          <w:lang w:val="en-US"/>
        </w:rPr>
        <w:t xml:space="preserve"> sustainable development at the centre</w:t>
      </w:r>
      <w:r w:rsidRPr="3A5849E2" w:rsidR="456D2F97">
        <w:rPr>
          <w:lang w:val="en-US"/>
        </w:rPr>
        <w:t>.</w:t>
      </w:r>
    </w:p>
    <w:p w:rsidR="006738F9" w:rsidRDefault="006738F9" w14:paraId="2DF42485" w14:textId="77777777">
      <w:pPr>
        <w:rPr>
          <w:lang w:val="en-US"/>
        </w:rPr>
      </w:pPr>
    </w:p>
    <w:p w:rsidRPr="00665216" w:rsidR="00665216" w:rsidP="00665216" w:rsidRDefault="00665216" w14:paraId="32E7EE40" w14:textId="77777777">
      <w:pPr>
        <w:rPr>
          <w:b/>
          <w:bCs/>
          <w:sz w:val="32"/>
          <w:szCs w:val="32"/>
        </w:rPr>
      </w:pPr>
      <w:r w:rsidRPr="00665216">
        <w:rPr>
          <w:b/>
          <w:bCs/>
          <w:sz w:val="32"/>
          <w:szCs w:val="32"/>
        </w:rPr>
        <w:t>Which sectors are capturing more investor attention?</w:t>
      </w:r>
    </w:p>
    <w:p w:rsidR="00665216" w:rsidP="00740488" w:rsidRDefault="00665216" w14:paraId="06112505" w14:textId="75DFEDAE">
      <w:pPr>
        <w:rPr>
          <w:b/>
          <w:bCs/>
          <w:sz w:val="32"/>
          <w:szCs w:val="32"/>
        </w:rPr>
      </w:pPr>
      <w:r w:rsidRPr="00665216">
        <w:rPr>
          <w:b/>
          <w:bCs/>
          <w:sz w:val="32"/>
          <w:szCs w:val="32"/>
        </w:rPr>
        <w:t>What does this shift mean for developing countries?</w:t>
      </w:r>
    </w:p>
    <w:p w:rsidRPr="00740488" w:rsidR="00740488" w:rsidP="00740488" w:rsidRDefault="00B23DDF" w14:paraId="06D24ABC" w14:textId="3D0A6D54">
      <w:pPr>
        <w:rPr>
          <w:b/>
          <w:bCs/>
          <w:sz w:val="32"/>
          <w:szCs w:val="32"/>
        </w:rPr>
      </w:pPr>
      <w:r>
        <w:rPr>
          <w:b/>
          <w:bCs/>
          <w:sz w:val="32"/>
          <w:szCs w:val="32"/>
        </w:rPr>
        <w:br/>
      </w:r>
      <w:r>
        <w:rPr>
          <w:b/>
          <w:bCs/>
          <w:sz w:val="32"/>
          <w:szCs w:val="32"/>
        </w:rPr>
        <w:t>Chapter 3</w:t>
      </w:r>
      <w:r>
        <w:rPr>
          <w:b/>
          <w:bCs/>
          <w:sz w:val="32"/>
          <w:szCs w:val="32"/>
        </w:rPr>
        <w:br/>
      </w:r>
      <w:r w:rsidRPr="00740488" w:rsidR="00740488">
        <w:rPr>
          <w:b/>
          <w:bCs/>
          <w:sz w:val="32"/>
          <w:szCs w:val="32"/>
        </w:rPr>
        <w:t>International investment in a turbulent era: Trends and policy response</w:t>
      </w:r>
    </w:p>
    <w:p w:rsidRPr="00740488" w:rsidR="00740488" w:rsidP="00740488" w:rsidRDefault="00740488" w14:paraId="4C89BF4D" w14:textId="77777777">
      <w:pPr>
        <w:rPr>
          <w:b/>
          <w:bCs/>
          <w:sz w:val="32"/>
          <w:szCs w:val="32"/>
        </w:rPr>
      </w:pPr>
      <w:r w:rsidRPr="00740488">
        <w:rPr>
          <w:b/>
          <w:bCs/>
          <w:sz w:val="32"/>
          <w:szCs w:val="32"/>
        </w:rPr>
        <w:t>Investment in strategic sectors surges as manufacturing declines</w:t>
      </w:r>
    </w:p>
    <w:p w:rsidRPr="00740488" w:rsidR="00740488" w:rsidP="00740488" w:rsidRDefault="00740488" w14:paraId="5B7CBEDE" w14:textId="4EBDEBE9">
      <w:r w:rsidRPr="3A5849E2" w:rsidR="6EEDD8F6">
        <w:rPr>
          <w:b w:val="1"/>
          <w:bCs w:val="1"/>
          <w:highlight w:val="green"/>
          <w:lang w:val="en-US"/>
        </w:rPr>
        <w:t>The takeaway:</w:t>
      </w:r>
      <w:r w:rsidRPr="3A5849E2" w:rsidR="6EEDD8F6">
        <w:rPr>
          <w:highlight w:val="green"/>
          <w:lang w:val="en-US"/>
        </w:rPr>
        <w:t xml:space="preserve"> Investment is booming in strategic sectors </w:t>
      </w:r>
      <w:r w:rsidRPr="3A5849E2" w:rsidR="466F5F4E">
        <w:rPr>
          <w:highlight w:val="green"/>
          <w:lang w:val="en-US"/>
        </w:rPr>
        <w:t>like</w:t>
      </w:r>
      <w:r w:rsidRPr="3A5849E2" w:rsidR="6EEDD8F6">
        <w:rPr>
          <w:highlight w:val="green"/>
          <w:lang w:val="en-US"/>
        </w:rPr>
        <w:t xml:space="preserve"> artificial intelligence, semiconductors and critical minerals. But the gains are </w:t>
      </w:r>
      <w:r w:rsidRPr="3A5849E2" w:rsidR="53ED6216">
        <w:rPr>
          <w:highlight w:val="green"/>
          <w:lang w:val="en-US"/>
        </w:rPr>
        <w:t>concentrated, leaving out many</w:t>
      </w:r>
      <w:r w:rsidRPr="3A5849E2" w:rsidR="6EEDD8F6">
        <w:rPr>
          <w:highlight w:val="green"/>
          <w:lang w:val="en-US"/>
        </w:rPr>
        <w:t xml:space="preserve"> </w:t>
      </w:r>
      <w:r w:rsidRPr="3A5849E2" w:rsidR="53ED6216">
        <w:rPr>
          <w:highlight w:val="green"/>
          <w:lang w:val="en-US"/>
        </w:rPr>
        <w:t>d</w:t>
      </w:r>
      <w:r w:rsidRPr="3A5849E2" w:rsidR="6EEDD8F6">
        <w:rPr>
          <w:highlight w:val="green"/>
          <w:lang w:val="en-US"/>
        </w:rPr>
        <w:t>eveloping countries</w:t>
      </w:r>
      <w:r w:rsidRPr="3A5849E2" w:rsidR="53ED6216">
        <w:rPr>
          <w:highlight w:val="green"/>
          <w:lang w:val="en-US"/>
        </w:rPr>
        <w:t xml:space="preserve">. </w:t>
      </w:r>
      <w:r w:rsidRPr="3A5849E2" w:rsidR="3A7B8C7D">
        <w:rPr>
          <w:highlight w:val="green"/>
          <w:lang w:val="en-US"/>
        </w:rPr>
        <w:t>Meanwhile, manufacturing outside strategic sectors is retreating</w:t>
      </w:r>
      <w:r w:rsidRPr="3A5849E2" w:rsidR="6EEDD8F6">
        <w:rPr>
          <w:highlight w:val="green"/>
          <w:lang w:val="en-US"/>
        </w:rPr>
        <w:t>.</w:t>
      </w:r>
    </w:p>
    <w:p w:rsidR="00740488" w:rsidP="00740488" w:rsidRDefault="00740488" w14:paraId="5BB338F1" w14:textId="3FC86734">
      <w:pPr>
        <w:rPr>
          <w:b/>
          <w:bCs/>
          <w:sz w:val="28"/>
          <w:szCs w:val="28"/>
        </w:rPr>
      </w:pPr>
      <w:r w:rsidRPr="00887B9F">
        <w:rPr>
          <w:b/>
          <w:bCs/>
          <w:sz w:val="28"/>
          <w:szCs w:val="28"/>
        </w:rPr>
        <w:t xml:space="preserve">Five strategic sectors are </w:t>
      </w:r>
      <w:r w:rsidRPr="00887B9F" w:rsidR="005F6F15">
        <w:rPr>
          <w:b/>
          <w:bCs/>
          <w:sz w:val="28"/>
          <w:szCs w:val="28"/>
        </w:rPr>
        <w:t xml:space="preserve">attracting </w:t>
      </w:r>
      <w:r w:rsidRPr="00887B9F">
        <w:rPr>
          <w:b/>
          <w:bCs/>
          <w:sz w:val="28"/>
          <w:szCs w:val="28"/>
        </w:rPr>
        <w:t>a growing share of global investment</w:t>
      </w:r>
      <w:r w:rsidRPr="00887B9F" w:rsidR="00887B9F">
        <w:rPr>
          <w:b/>
          <w:bCs/>
          <w:sz w:val="28"/>
          <w:szCs w:val="28"/>
        </w:rPr>
        <w:t>. Announced greenfield investment in these sectors rose from $109 billion in 2020 to $576 billion in 2025. Their share of global greenfield investment increased from 16% to 44%.</w:t>
      </w:r>
    </w:p>
    <w:p w:rsidRPr="00887B9F" w:rsidR="00887B9F" w:rsidP="00740488" w:rsidRDefault="00887B9F" w14:paraId="2895C268" w14:textId="64963F5B">
      <w:r>
        <w:t>The five strategic sectors include:</w:t>
      </w:r>
    </w:p>
    <w:p w:rsidR="00887B9F" w:rsidP="00887B9F" w:rsidRDefault="00740488" w14:paraId="3E85ADE6" w14:textId="1B3A7CFD">
      <w:pPr>
        <w:pStyle w:val="ListParagraph"/>
        <w:numPr>
          <w:ilvl w:val="0"/>
          <w:numId w:val="10"/>
        </w:numPr>
        <w:rPr/>
      </w:pPr>
      <w:r w:rsidRPr="3A5849E2" w:rsidR="6EEDD8F6">
        <w:rPr>
          <w:b w:val="1"/>
          <w:bCs w:val="1"/>
          <w:lang w:val="en-US"/>
        </w:rPr>
        <w:t xml:space="preserve">Artificial intelligence </w:t>
      </w:r>
      <w:r w:rsidRPr="3A5849E2" w:rsidR="3A01F81F">
        <w:rPr>
          <w:b w:val="1"/>
          <w:bCs w:val="1"/>
          <w:lang w:val="en-US"/>
        </w:rPr>
        <w:t xml:space="preserve">(AI) </w:t>
      </w:r>
      <w:r w:rsidRPr="3A5849E2" w:rsidR="6EEDD8F6">
        <w:rPr>
          <w:b w:val="1"/>
          <w:bCs w:val="1"/>
          <w:lang w:val="en-US"/>
        </w:rPr>
        <w:t>infrastructure and related technologies</w:t>
      </w:r>
      <w:r w:rsidRPr="3A5849E2" w:rsidR="6EEDD8F6">
        <w:rPr>
          <w:lang w:val="en-US"/>
        </w:rPr>
        <w:t>, such as data centres, cloud computing and cybersecurity.</w:t>
      </w:r>
    </w:p>
    <w:p w:rsidR="00887B9F" w:rsidP="00887B9F" w:rsidRDefault="00740488" w14:paraId="4F706F34" w14:textId="77777777">
      <w:pPr>
        <w:pStyle w:val="ListParagraph"/>
        <w:numPr>
          <w:ilvl w:val="0"/>
          <w:numId w:val="10"/>
        </w:numPr>
        <w:rPr/>
      </w:pPr>
      <w:r w:rsidRPr="3A5849E2" w:rsidR="6EEDD8F6">
        <w:rPr>
          <w:b w:val="1"/>
          <w:bCs w:val="1"/>
          <w:lang w:val="en-US"/>
        </w:rPr>
        <w:t>Advanced and sensitive technologies</w:t>
      </w:r>
      <w:r w:rsidRPr="3A5849E2" w:rsidR="6EEDD8F6">
        <w:rPr>
          <w:lang w:val="en-US"/>
        </w:rPr>
        <w:t>, including biotechnology, robotics, quantum technologies and space systems.</w:t>
      </w:r>
    </w:p>
    <w:p w:rsidR="00887B9F" w:rsidP="00887B9F" w:rsidRDefault="00740488" w14:paraId="2263FA26" w14:textId="77777777">
      <w:pPr>
        <w:pStyle w:val="ListParagraph"/>
        <w:numPr>
          <w:ilvl w:val="0"/>
          <w:numId w:val="10"/>
        </w:numPr>
        <w:rPr/>
      </w:pPr>
      <w:r w:rsidRPr="3A5849E2" w:rsidR="6EEDD8F6">
        <w:rPr>
          <w:b w:val="1"/>
          <w:bCs w:val="1"/>
          <w:lang w:val="en-US"/>
        </w:rPr>
        <w:t>Critical minerals</w:t>
      </w:r>
      <w:r w:rsidRPr="3A5849E2" w:rsidR="6EEDD8F6">
        <w:rPr>
          <w:lang w:val="en-US"/>
        </w:rPr>
        <w:t>, such as copper, lithium and rare earth elements.</w:t>
      </w:r>
    </w:p>
    <w:p w:rsidR="00887B9F" w:rsidP="00887B9F" w:rsidRDefault="00740488" w14:paraId="3215DE5B" w14:textId="77777777">
      <w:pPr>
        <w:pStyle w:val="ListParagraph"/>
        <w:numPr>
          <w:ilvl w:val="0"/>
          <w:numId w:val="10"/>
        </w:numPr>
        <w:rPr/>
      </w:pPr>
      <w:r w:rsidRPr="3A5849E2" w:rsidR="6EEDD8F6">
        <w:rPr>
          <w:b w:val="1"/>
          <w:bCs w:val="1"/>
          <w:lang w:val="en-US"/>
        </w:rPr>
        <w:t>Energy-transition technologies and services</w:t>
      </w:r>
      <w:r w:rsidRPr="3A5849E2" w:rsidR="6EEDD8F6">
        <w:rPr>
          <w:lang w:val="en-US"/>
        </w:rPr>
        <w:t>, including batteries, electric vehicles, hydrogen and carbon capture.</w:t>
      </w:r>
    </w:p>
    <w:p w:rsidRPr="00740488" w:rsidR="00740488" w:rsidP="00887B9F" w:rsidRDefault="00740488" w14:paraId="1003E230" w14:textId="5D6CCD89">
      <w:pPr>
        <w:pStyle w:val="ListParagraph"/>
        <w:numPr>
          <w:ilvl w:val="0"/>
          <w:numId w:val="10"/>
        </w:numPr>
        <w:rPr/>
      </w:pPr>
      <w:r w:rsidRPr="3A5849E2" w:rsidR="6EEDD8F6">
        <w:rPr>
          <w:b w:val="1"/>
          <w:bCs w:val="1"/>
          <w:lang w:val="en-US"/>
        </w:rPr>
        <w:t>Semiconductors</w:t>
      </w:r>
      <w:r w:rsidRPr="3A5849E2" w:rsidR="6EEDD8F6">
        <w:rPr>
          <w:lang w:val="en-US"/>
        </w:rPr>
        <w:t>, including chip fabrication, design-enabling activities and production equipment.</w:t>
      </w:r>
    </w:p>
    <w:p w:rsidRPr="00740488" w:rsidR="00740488" w:rsidP="00740488" w:rsidRDefault="00740488" w14:paraId="000912A0" w14:textId="57896ECB">
      <w:r w:rsidRPr="00740488">
        <w:t>A</w:t>
      </w:r>
      <w:r w:rsidR="00887B9F">
        <w:t>I</w:t>
      </w:r>
      <w:r w:rsidRPr="00740488">
        <w:t xml:space="preserve"> infrastructure was the largest category. Semiconductors grew the fastest.</w:t>
      </w:r>
    </w:p>
    <w:p w:rsidR="00740488" w:rsidP="3A5849E2" w:rsidRDefault="00740488" w14:paraId="771C26AA" w14:textId="2B7BEF7A">
      <w:pPr>
        <w:rPr>
          <w:i w:val="1"/>
          <w:iCs w:val="1"/>
          <w:lang w:val="en-US"/>
        </w:rPr>
      </w:pPr>
      <w:r w:rsidRPr="3A5849E2" w:rsidR="6EEDD8F6">
        <w:rPr>
          <w:b w:val="1"/>
          <w:bCs w:val="1"/>
          <w:highlight w:val="yellow"/>
          <w:lang w:val="en-US"/>
        </w:rPr>
        <w:t>FIGURE III.1</w:t>
      </w:r>
      <w:r>
        <w:br/>
      </w:r>
      <w:r w:rsidRPr="3A5849E2" w:rsidR="6EEDD8F6">
        <w:rPr>
          <w:b w:val="1"/>
          <w:bCs w:val="1"/>
          <w:highlight w:val="yellow"/>
          <w:lang w:val="en-US"/>
        </w:rPr>
        <w:t>Strategic sectors attract nearly half of global greenfield investment</w:t>
      </w:r>
      <w:r>
        <w:br/>
      </w:r>
      <w:r w:rsidRPr="3A5849E2" w:rsidR="6EEDD8F6">
        <w:rPr>
          <w:i w:val="1"/>
          <w:iCs w:val="1"/>
          <w:highlight w:val="yellow"/>
          <w:lang w:val="en-US"/>
        </w:rPr>
        <w:t>Announced greenfield investment in strategic sectors, billions of dollars and percentage of global greenfield investment, 2020</w:t>
      </w:r>
      <w:r w:rsidRPr="3A5849E2" w:rsidR="2B885530">
        <w:rPr>
          <w:i w:val="1"/>
          <w:iCs w:val="1"/>
          <w:lang w:val="en-US"/>
        </w:rPr>
        <w:t>–</w:t>
      </w:r>
      <w:r w:rsidRPr="3A5849E2" w:rsidR="6EEDD8F6">
        <w:rPr>
          <w:i w:val="1"/>
          <w:iCs w:val="1"/>
          <w:highlight w:val="yellow"/>
          <w:lang w:val="en-US"/>
        </w:rPr>
        <w:t>2025</w:t>
      </w:r>
    </w:p>
    <w:p w:rsidRPr="00740488" w:rsidR="00CF1F21" w:rsidP="00740488" w:rsidRDefault="00CF1F21" w14:paraId="740EBFFC" w14:textId="72C93DD4">
      <w:r w:rsidRPr="00CF1F21">
        <w:rPr>
          <w:noProof/>
        </w:rPr>
        <w:drawing>
          <wp:inline distT="0" distB="0" distL="0" distR="0" wp14:anchorId="2D55F171" wp14:editId="551C469A">
            <wp:extent cx="5131064" cy="3911801"/>
            <wp:effectExtent l="0" t="0" r="0" b="0"/>
            <wp:docPr id="127478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5609" name=""/>
                    <pic:cNvPicPr/>
                  </pic:nvPicPr>
                  <pic:blipFill>
                    <a:blip r:embed="rId17"/>
                    <a:stretch>
                      <a:fillRect/>
                    </a:stretch>
                  </pic:blipFill>
                  <pic:spPr>
                    <a:xfrm>
                      <a:off x="0" y="0"/>
                      <a:ext cx="5131064" cy="3911801"/>
                    </a:xfrm>
                    <a:prstGeom prst="rect">
                      <a:avLst/>
                    </a:prstGeom>
                  </pic:spPr>
                </pic:pic>
              </a:graphicData>
            </a:graphic>
          </wp:inline>
        </w:drawing>
      </w:r>
    </w:p>
    <w:p w:rsidR="00740488" w:rsidP="00740488" w:rsidRDefault="00740488" w14:paraId="0E043DD9" w14:textId="11B9E396">
      <w:r w:rsidRPr="00740488">
        <w:rPr>
          <w:b/>
          <w:bCs/>
        </w:rPr>
        <w:t>The boom is concentrated at both ends</w:t>
      </w:r>
      <w:r w:rsidR="00333E8A">
        <w:rPr>
          <w:b/>
          <w:bCs/>
        </w:rPr>
        <w:t xml:space="preserve"> – </w:t>
      </w:r>
      <w:r w:rsidRPr="00740488">
        <w:rPr>
          <w:b/>
          <w:bCs/>
        </w:rPr>
        <w:t xml:space="preserve">among </w:t>
      </w:r>
      <w:r w:rsidR="00F7227E">
        <w:rPr>
          <w:b/>
          <w:bCs/>
        </w:rPr>
        <w:t xml:space="preserve">economies </w:t>
      </w:r>
      <w:r w:rsidRPr="00740488">
        <w:rPr>
          <w:b/>
          <w:bCs/>
        </w:rPr>
        <w:t>supplying the capital and those receiving it.</w:t>
      </w:r>
      <w:r w:rsidRPr="00740488">
        <w:t xml:space="preserve"> </w:t>
      </w:r>
      <w:r w:rsidRPr="00F7227E" w:rsidR="00F7227E">
        <w:t>From 2020 to 2025, the three leading source economies in each sector accounted for 69% of project values. The three leading destinations received 50%. In other sectors, the corresponding shares were 32% and 26%.</w:t>
      </w:r>
    </w:p>
    <w:p w:rsidR="0069215D" w:rsidP="0069215D" w:rsidRDefault="0069215D" w14:paraId="40ECC0DF" w14:textId="37388744">
      <w:pPr>
        <w:rPr>
          <w:i/>
          <w:iCs/>
        </w:rPr>
      </w:pPr>
      <w:r w:rsidRPr="00740488">
        <w:rPr>
          <w:b/>
          <w:bCs/>
          <w:highlight w:val="yellow"/>
        </w:rPr>
        <w:t>FIGURE III.2</w:t>
      </w:r>
      <w:r w:rsidRPr="00740488">
        <w:rPr>
          <w:highlight w:val="yellow"/>
        </w:rPr>
        <w:br/>
      </w:r>
      <w:r w:rsidRPr="00740488">
        <w:rPr>
          <w:b/>
          <w:bCs/>
          <w:highlight w:val="yellow"/>
        </w:rPr>
        <w:t>Investment in strategic sectors is highly concentrated</w:t>
      </w:r>
      <w:r w:rsidRPr="00740488">
        <w:rPr>
          <w:highlight w:val="yellow"/>
        </w:rPr>
        <w:br/>
      </w:r>
      <w:r w:rsidRPr="00740488">
        <w:rPr>
          <w:i/>
          <w:iCs/>
          <w:highlight w:val="yellow"/>
        </w:rPr>
        <w:t>Announced greenfield investment, share accounted for by the three largest source and destination economies, percentage, 2020</w:t>
      </w:r>
      <w:r w:rsidR="00AA7851">
        <w:rPr>
          <w:i/>
          <w:iCs/>
          <w:highlight w:val="yellow"/>
        </w:rPr>
        <w:t>–</w:t>
      </w:r>
      <w:r w:rsidRPr="00740488">
        <w:rPr>
          <w:i/>
          <w:iCs/>
          <w:highlight w:val="yellow"/>
        </w:rPr>
        <w:t>2025</w:t>
      </w:r>
    </w:p>
    <w:p w:rsidRPr="00740488" w:rsidR="0064428E" w:rsidP="0069215D" w:rsidRDefault="0064428E" w14:paraId="6F9BC9EB" w14:textId="3F66F0A8">
      <w:r w:rsidRPr="0064428E">
        <w:rPr>
          <w:noProof/>
        </w:rPr>
        <w:drawing>
          <wp:inline distT="0" distB="0" distL="0" distR="0" wp14:anchorId="6B2B2988" wp14:editId="71E531B3">
            <wp:extent cx="4407126" cy="3391074"/>
            <wp:effectExtent l="0" t="0" r="0" b="0"/>
            <wp:docPr id="7191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38700" name=""/>
                    <pic:cNvPicPr/>
                  </pic:nvPicPr>
                  <pic:blipFill>
                    <a:blip r:embed="rId18"/>
                    <a:stretch>
                      <a:fillRect/>
                    </a:stretch>
                  </pic:blipFill>
                  <pic:spPr>
                    <a:xfrm>
                      <a:off x="0" y="0"/>
                      <a:ext cx="4407126" cy="3391074"/>
                    </a:xfrm>
                    <a:prstGeom prst="rect">
                      <a:avLst/>
                    </a:prstGeom>
                  </pic:spPr>
                </pic:pic>
              </a:graphicData>
            </a:graphic>
          </wp:inline>
        </w:drawing>
      </w:r>
    </w:p>
    <w:p w:rsidR="008A44C7" w:rsidP="008A44C7" w:rsidRDefault="008A44C7" w14:paraId="77E3EA2F" w14:textId="77777777">
      <w:r w:rsidRPr="008A44C7">
        <w:rPr>
          <w:b/>
          <w:bCs/>
        </w:rPr>
        <w:t>Patterns differ by sector</w:t>
      </w:r>
      <w:r>
        <w:rPr>
          <w:b/>
          <w:bCs/>
        </w:rPr>
        <w:t>:</w:t>
      </w:r>
      <w:r w:rsidRPr="008A44C7">
        <w:t xml:space="preserve"> </w:t>
      </w:r>
    </w:p>
    <w:p w:rsidR="00977D25" w:rsidP="008A44C7" w:rsidRDefault="00977D25" w14:paraId="18568749" w14:textId="637E8BF3">
      <w:pPr>
        <w:pStyle w:val="ListParagraph"/>
        <w:numPr>
          <w:ilvl w:val="0"/>
          <w:numId w:val="11"/>
        </w:numPr>
      </w:pPr>
      <w:r w:rsidRPr="00977D25">
        <w:rPr>
          <w:b/>
          <w:bCs/>
        </w:rPr>
        <w:t>AI infrastructure</w:t>
      </w:r>
      <w:r>
        <w:t xml:space="preserve">: </w:t>
      </w:r>
      <w:r w:rsidRPr="008A44C7" w:rsidR="008A44C7">
        <w:t>The U</w:t>
      </w:r>
      <w:r w:rsidR="008A44C7">
        <w:t>S</w:t>
      </w:r>
      <w:r w:rsidRPr="008A44C7" w:rsidR="008A44C7">
        <w:t xml:space="preserve"> is the leading source of investment, while the European Union is the main destination. </w:t>
      </w:r>
    </w:p>
    <w:p w:rsidRPr="00977D25" w:rsidR="00FB1AC1" w:rsidP="008A44C7" w:rsidRDefault="008A44C7" w14:paraId="542E04BF" w14:textId="243A2799">
      <w:pPr>
        <w:pStyle w:val="ListParagraph"/>
        <w:numPr>
          <w:ilvl w:val="0"/>
          <w:numId w:val="11"/>
        </w:numPr>
        <w:rPr/>
      </w:pPr>
      <w:r w:rsidRPr="3A5849E2" w:rsidR="0CCF65CC">
        <w:rPr>
          <w:b w:val="1"/>
          <w:bCs w:val="1"/>
          <w:lang w:val="en-US"/>
        </w:rPr>
        <w:t>Advanced-technolog</w:t>
      </w:r>
      <w:r w:rsidRPr="3A5849E2" w:rsidR="01BA36EA">
        <w:rPr>
          <w:b w:val="1"/>
          <w:bCs w:val="1"/>
          <w:lang w:val="en-US"/>
        </w:rPr>
        <w:t>ies</w:t>
      </w:r>
      <w:r w:rsidRPr="3A5849E2" w:rsidR="01BA36EA">
        <w:rPr>
          <w:b w:val="1"/>
          <w:bCs w:val="1"/>
          <w:lang w:val="en-US"/>
        </w:rPr>
        <w:t xml:space="preserve">: </w:t>
      </w:r>
      <w:r w:rsidRPr="3A5849E2" w:rsidR="01BA36EA">
        <w:rPr>
          <w:lang w:val="en-US"/>
        </w:rPr>
        <w:t>I</w:t>
      </w:r>
      <w:r w:rsidRPr="3A5849E2" w:rsidR="0CCF65CC">
        <w:rPr>
          <w:lang w:val="en-US"/>
        </w:rPr>
        <w:t xml:space="preserve">nvestment also centres </w:t>
      </w:r>
      <w:r w:rsidRPr="3A5849E2" w:rsidR="42E98EB8">
        <w:rPr>
          <w:lang w:val="en-US"/>
        </w:rPr>
        <w:t>i</w:t>
      </w:r>
      <w:r w:rsidRPr="3A5849E2" w:rsidR="0CCF65CC">
        <w:rPr>
          <w:lang w:val="en-US"/>
        </w:rPr>
        <w:t xml:space="preserve">n the </w:t>
      </w:r>
      <w:r w:rsidRPr="3A5849E2" w:rsidR="42E98EB8">
        <w:rPr>
          <w:lang w:val="en-US"/>
        </w:rPr>
        <w:t>US</w:t>
      </w:r>
      <w:r w:rsidRPr="3A5849E2" w:rsidR="0CCF65CC">
        <w:rPr>
          <w:lang w:val="en-US"/>
        </w:rPr>
        <w:t xml:space="preserve"> and Europe.</w:t>
      </w:r>
    </w:p>
    <w:p w:rsidRPr="00977D25" w:rsidR="00977D25" w:rsidP="008A44C7" w:rsidRDefault="00977D25" w14:paraId="4C9E11A5" w14:textId="256EB802">
      <w:pPr>
        <w:pStyle w:val="ListParagraph"/>
        <w:numPr>
          <w:ilvl w:val="0"/>
          <w:numId w:val="11"/>
        </w:numPr>
        <w:rPr/>
      </w:pPr>
      <w:r w:rsidRPr="3A5849E2" w:rsidR="01BA36EA">
        <w:rPr>
          <w:b w:val="1"/>
          <w:bCs w:val="1"/>
          <w:lang w:val="en-US"/>
        </w:rPr>
        <w:t>Critical minerals</w:t>
      </w:r>
      <w:r w:rsidRPr="3A5849E2" w:rsidR="01BA36EA">
        <w:rPr>
          <w:lang w:val="en-US"/>
        </w:rPr>
        <w:t xml:space="preserve">: </w:t>
      </w:r>
      <w:r w:rsidRPr="3A5849E2" w:rsidR="0CCF65CC">
        <w:rPr>
          <w:lang w:val="en-US"/>
        </w:rPr>
        <w:t>China leads outward investment</w:t>
      </w:r>
      <w:r w:rsidRPr="3A5849E2" w:rsidR="01BA36EA">
        <w:rPr>
          <w:lang w:val="en-US"/>
        </w:rPr>
        <w:t xml:space="preserve"> </w:t>
      </w:r>
      <w:r w:rsidRPr="3A5849E2" w:rsidR="0CCF65CC">
        <w:rPr>
          <w:lang w:val="en-US"/>
        </w:rPr>
        <w:t xml:space="preserve">and plays a major role in processing. </w:t>
      </w:r>
    </w:p>
    <w:p w:rsidRPr="008A44C7" w:rsidR="008A44C7" w:rsidP="008A44C7" w:rsidRDefault="008A44C7" w14:paraId="09B3CD3A" w14:textId="3FDAADC0">
      <w:pPr>
        <w:pStyle w:val="ListParagraph"/>
        <w:numPr>
          <w:ilvl w:val="0"/>
          <w:numId w:val="11"/>
        </w:numPr>
      </w:pPr>
      <w:r w:rsidRPr="00977D25">
        <w:rPr>
          <w:b/>
          <w:bCs/>
        </w:rPr>
        <w:t>Semiconductor</w:t>
      </w:r>
      <w:r w:rsidRPr="00977D25" w:rsidR="00977D25">
        <w:rPr>
          <w:b/>
          <w:bCs/>
        </w:rPr>
        <w:t>s</w:t>
      </w:r>
      <w:r w:rsidR="00977D25">
        <w:t>: I</w:t>
      </w:r>
      <w:r w:rsidRPr="008A44C7">
        <w:t>nvestment is even more concentrated. Investment from Taiwan Province of China to the U</w:t>
      </w:r>
      <w:r w:rsidR="00FB1AC1">
        <w:t>S</w:t>
      </w:r>
      <w:r w:rsidRPr="008A44C7">
        <w:t xml:space="preserve"> accounted for about one third of the global total from 2020 to 2025.</w:t>
      </w:r>
    </w:p>
    <w:p w:rsidRPr="00740488" w:rsidR="00740488" w:rsidP="00740488" w:rsidRDefault="00740488" w14:paraId="348F1B08" w14:textId="48DE3061">
      <w:r w:rsidRPr="3A5849E2" w:rsidR="6EEDD8F6">
        <w:rPr>
          <w:b w:val="1"/>
          <w:bCs w:val="1"/>
          <w:lang w:val="en-US"/>
        </w:rPr>
        <w:t>Many developing economies remain outside this investment boom.</w:t>
      </w:r>
      <w:r w:rsidRPr="3A5849E2" w:rsidR="6EEDD8F6">
        <w:rPr>
          <w:lang w:val="en-US"/>
        </w:rPr>
        <w:t xml:space="preserve"> </w:t>
      </w:r>
      <w:r w:rsidRPr="3A5849E2" w:rsidR="5C9E89D0">
        <w:rPr>
          <w:lang w:val="en-US"/>
        </w:rPr>
        <w:t>Low-income and lower-middle-income economies attracted only about 10% of strategic-sector investment. They received more than 20% in other sectors. This limits opportunities to build productive capacity, technology, skills and links to global production networks.</w:t>
      </w:r>
    </w:p>
    <w:p w:rsidR="00740488" w:rsidP="00740488" w:rsidRDefault="00740488" w14:paraId="710CBF45" w14:textId="2F0BFB88">
      <w:pPr>
        <w:rPr>
          <w:i/>
          <w:iCs/>
        </w:rPr>
      </w:pPr>
      <w:r w:rsidRPr="0069215D">
        <w:rPr>
          <w:b/>
          <w:bCs/>
          <w:highlight w:val="yellow"/>
        </w:rPr>
        <w:t>FIGURE III.3</w:t>
      </w:r>
      <w:r w:rsidRPr="0069215D">
        <w:rPr>
          <w:highlight w:val="yellow"/>
        </w:rPr>
        <w:br/>
      </w:r>
      <w:r w:rsidRPr="0069215D">
        <w:rPr>
          <w:b/>
          <w:bCs/>
          <w:highlight w:val="yellow"/>
        </w:rPr>
        <w:t>Strategic investment bypasses many developing economies</w:t>
      </w:r>
      <w:r w:rsidRPr="0069215D">
        <w:rPr>
          <w:highlight w:val="yellow"/>
        </w:rPr>
        <w:br/>
      </w:r>
      <w:r w:rsidRPr="0069215D">
        <w:rPr>
          <w:i/>
          <w:iCs/>
          <w:highlight w:val="yellow"/>
        </w:rPr>
        <w:t>Announced greenfield investment in strategic sectors, by recipient-country income group, percentage, 2020</w:t>
      </w:r>
      <w:r w:rsidR="00AA7851">
        <w:rPr>
          <w:i/>
          <w:iCs/>
          <w:highlight w:val="yellow"/>
        </w:rPr>
        <w:t>–</w:t>
      </w:r>
      <w:r w:rsidRPr="0069215D">
        <w:rPr>
          <w:i/>
          <w:iCs/>
          <w:highlight w:val="yellow"/>
        </w:rPr>
        <w:t>2025</w:t>
      </w:r>
    </w:p>
    <w:p w:rsidRPr="00740488" w:rsidR="0064428E" w:rsidP="00740488" w:rsidRDefault="0064428E" w14:paraId="13A0C1F1" w14:textId="04E13953">
      <w:r w:rsidRPr="0064428E">
        <w:rPr>
          <w:noProof/>
        </w:rPr>
        <w:drawing>
          <wp:inline distT="0" distB="0" distL="0" distR="0" wp14:anchorId="4F60C5AC" wp14:editId="4E8C2AE1">
            <wp:extent cx="4134062" cy="2540131"/>
            <wp:effectExtent l="0" t="0" r="0" b="0"/>
            <wp:docPr id="4587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81887" name=""/>
                    <pic:cNvPicPr/>
                  </pic:nvPicPr>
                  <pic:blipFill>
                    <a:blip r:embed="rId19"/>
                    <a:stretch>
                      <a:fillRect/>
                    </a:stretch>
                  </pic:blipFill>
                  <pic:spPr>
                    <a:xfrm>
                      <a:off x="0" y="0"/>
                      <a:ext cx="4134062" cy="2540131"/>
                    </a:xfrm>
                    <a:prstGeom prst="rect">
                      <a:avLst/>
                    </a:prstGeom>
                  </pic:spPr>
                </pic:pic>
              </a:graphicData>
            </a:graphic>
          </wp:inline>
        </w:drawing>
      </w:r>
    </w:p>
    <w:p w:rsidRPr="00740488" w:rsidR="00740488" w:rsidP="00740488" w:rsidRDefault="00740488" w14:paraId="1112B135" w14:textId="2C9E3E08">
      <w:r w:rsidRPr="3A5849E2" w:rsidR="6EEDD8F6">
        <w:rPr>
          <w:b w:val="1"/>
          <w:bCs w:val="1"/>
          <w:lang w:val="en-US"/>
        </w:rPr>
        <w:t>Government policy is reinforcing the divide</w:t>
      </w:r>
      <w:r w:rsidRPr="3A5849E2" w:rsidR="6EEDD8F6">
        <w:rPr>
          <w:lang w:val="en-US"/>
        </w:rPr>
        <w:t>. China, the E</w:t>
      </w:r>
      <w:r w:rsidRPr="3A5849E2" w:rsidR="42E98EB8">
        <w:rPr>
          <w:lang w:val="en-US"/>
        </w:rPr>
        <w:t>U</w:t>
      </w:r>
      <w:r w:rsidRPr="3A5849E2" w:rsidR="6EEDD8F6">
        <w:rPr>
          <w:lang w:val="en-US"/>
        </w:rPr>
        <w:t xml:space="preserve"> and the U</w:t>
      </w:r>
      <w:r w:rsidRPr="3A5849E2" w:rsidR="42E98EB8">
        <w:rPr>
          <w:lang w:val="en-US"/>
        </w:rPr>
        <w:t>S</w:t>
      </w:r>
      <w:r w:rsidRPr="3A5849E2" w:rsidR="6EEDD8F6">
        <w:rPr>
          <w:lang w:val="en-US"/>
        </w:rPr>
        <w:t xml:space="preserve"> accounted for half of the industrial policy measures recorded over the past decade. These policies include subsidies, procurement rules, local-content requirements and trade and investment restrictions. </w:t>
      </w:r>
      <w:r w:rsidRPr="3A5849E2" w:rsidR="12EE1033">
        <w:rPr>
          <w:lang w:val="en-US"/>
        </w:rPr>
        <w:t>Their larger markets and greater fiscal resources make it difficult for most developing countries to compete for strategic projects.</w:t>
      </w:r>
    </w:p>
    <w:p w:rsidR="00740488" w:rsidP="3A5849E2" w:rsidRDefault="00740488" w14:paraId="1524EA8A" w14:textId="6EB97190">
      <w:pPr>
        <w:rPr>
          <w:i w:val="1"/>
          <w:iCs w:val="1"/>
          <w:lang w:val="en-US"/>
        </w:rPr>
      </w:pPr>
      <w:r w:rsidRPr="3A5849E2" w:rsidR="6EEDD8F6">
        <w:rPr>
          <w:b w:val="1"/>
          <w:bCs w:val="1"/>
          <w:highlight w:val="yellow"/>
          <w:lang w:val="en-US"/>
        </w:rPr>
        <w:t>FIGURE III.9</w:t>
      </w:r>
      <w:r>
        <w:br/>
      </w:r>
      <w:r w:rsidRPr="3A5849E2" w:rsidR="6EEDD8F6">
        <w:rPr>
          <w:b w:val="1"/>
          <w:bCs w:val="1"/>
          <w:highlight w:val="yellow"/>
          <w:lang w:val="en-US"/>
        </w:rPr>
        <w:t>The subsidy gap between developed and developing economies widens</w:t>
      </w:r>
      <w:r>
        <w:br/>
      </w:r>
      <w:r w:rsidRPr="3A5849E2" w:rsidR="6EEDD8F6">
        <w:rPr>
          <w:i w:val="1"/>
          <w:iCs w:val="1"/>
          <w:highlight w:val="yellow"/>
          <w:lang w:val="en-US"/>
        </w:rPr>
        <w:t>Selective industrial subsidies, by economic grouping, number and millions of dollars, 2016</w:t>
      </w:r>
      <w:r w:rsidRPr="3A5849E2" w:rsidR="2B885530">
        <w:rPr>
          <w:i w:val="1"/>
          <w:iCs w:val="1"/>
          <w:highlight w:val="yellow"/>
          <w:lang w:val="en-US"/>
        </w:rPr>
        <w:t>–</w:t>
      </w:r>
      <w:r w:rsidRPr="3A5849E2" w:rsidR="6EEDD8F6">
        <w:rPr>
          <w:i w:val="1"/>
          <w:iCs w:val="1"/>
          <w:highlight w:val="yellow"/>
          <w:lang w:val="en-US"/>
        </w:rPr>
        <w:t>2024</w:t>
      </w:r>
    </w:p>
    <w:p w:rsidRPr="00740488" w:rsidR="00CF035C" w:rsidP="00740488" w:rsidRDefault="00CF035C" w14:paraId="1A68793F" w14:textId="5F4ABD44">
      <w:r w:rsidRPr="00CF035C">
        <w:rPr>
          <w:noProof/>
        </w:rPr>
        <w:drawing>
          <wp:inline distT="0" distB="0" distL="0" distR="0" wp14:anchorId="514BBDBB" wp14:editId="61BA9B94">
            <wp:extent cx="4426177" cy="2406774"/>
            <wp:effectExtent l="0" t="0" r="0" b="0"/>
            <wp:docPr id="10882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7616" name=""/>
                    <pic:cNvPicPr/>
                  </pic:nvPicPr>
                  <pic:blipFill>
                    <a:blip r:embed="rId20"/>
                    <a:stretch>
                      <a:fillRect/>
                    </a:stretch>
                  </pic:blipFill>
                  <pic:spPr>
                    <a:xfrm>
                      <a:off x="0" y="0"/>
                      <a:ext cx="4426177" cy="2406774"/>
                    </a:xfrm>
                    <a:prstGeom prst="rect">
                      <a:avLst/>
                    </a:prstGeom>
                  </pic:spPr>
                </pic:pic>
              </a:graphicData>
            </a:graphic>
          </wp:inline>
        </w:drawing>
      </w:r>
    </w:p>
    <w:p w:rsidRPr="00740488" w:rsidR="00740488" w:rsidP="00740488" w:rsidRDefault="00740488" w14:paraId="44467105" w14:textId="5204660F">
      <w:r w:rsidRPr="00B60370">
        <w:rPr>
          <w:b/>
          <w:bCs/>
        </w:rPr>
        <w:t xml:space="preserve">Meanwhile, </w:t>
      </w:r>
      <w:r w:rsidR="00343CAC">
        <w:rPr>
          <w:b/>
          <w:bCs/>
        </w:rPr>
        <w:t xml:space="preserve">investment in </w:t>
      </w:r>
      <w:r w:rsidRPr="00B60370">
        <w:rPr>
          <w:b/>
          <w:bCs/>
        </w:rPr>
        <w:t xml:space="preserve">manufacturing outside </w:t>
      </w:r>
      <w:r w:rsidR="00343CAC">
        <w:rPr>
          <w:b/>
          <w:bCs/>
        </w:rPr>
        <w:t xml:space="preserve">the five </w:t>
      </w:r>
      <w:r w:rsidRPr="00B60370">
        <w:rPr>
          <w:b/>
          <w:bCs/>
        </w:rPr>
        <w:t>strategic sectors is retreating</w:t>
      </w:r>
      <w:r w:rsidRPr="00740488">
        <w:t xml:space="preserve">. </w:t>
      </w:r>
      <w:r w:rsidR="00343CAC">
        <w:t xml:space="preserve">FDI to traditional industries </w:t>
      </w:r>
      <w:r w:rsidRPr="00740488">
        <w:t>fell by 17% between 2015</w:t>
      </w:r>
      <w:r w:rsidR="00AA7851">
        <w:t>–</w:t>
      </w:r>
      <w:r w:rsidRPr="00740488">
        <w:t>2019 and 2021</w:t>
      </w:r>
      <w:r w:rsidR="00AA7851">
        <w:t>–</w:t>
      </w:r>
      <w:r w:rsidRPr="00740488">
        <w:t>2025. The decline reached 20% in developing economies and 65% in least developed countries.</w:t>
      </w:r>
    </w:p>
    <w:p w:rsidR="00740488" w:rsidP="00740488" w:rsidRDefault="00740488" w14:paraId="5D6AB231" w14:textId="300FC1FF">
      <w:pPr>
        <w:rPr>
          <w:i/>
          <w:iCs/>
        </w:rPr>
      </w:pPr>
      <w:r w:rsidRPr="00402D79">
        <w:rPr>
          <w:b/>
          <w:bCs/>
          <w:highlight w:val="yellow"/>
        </w:rPr>
        <w:t>FIGURE III.16</w:t>
      </w:r>
      <w:r w:rsidRPr="00402D79">
        <w:rPr>
          <w:highlight w:val="yellow"/>
        </w:rPr>
        <w:br/>
      </w:r>
      <w:r w:rsidRPr="00402D79">
        <w:rPr>
          <w:b/>
          <w:bCs/>
          <w:highlight w:val="yellow"/>
        </w:rPr>
        <w:t>Cross-border manufacturing investment falls 17%</w:t>
      </w:r>
      <w:r w:rsidRPr="00402D79">
        <w:rPr>
          <w:highlight w:val="yellow"/>
        </w:rPr>
        <w:br/>
      </w:r>
      <w:r w:rsidRPr="00402D79">
        <w:rPr>
          <w:i/>
          <w:iCs/>
          <w:highlight w:val="yellow"/>
        </w:rPr>
        <w:t>Announced greenfield investment in manufacturing outside strategic sectors, by largest source economy, billions of dollars, 2015</w:t>
      </w:r>
      <w:r w:rsidR="00AA7851">
        <w:rPr>
          <w:i/>
          <w:iCs/>
          <w:highlight w:val="yellow"/>
        </w:rPr>
        <w:t>–</w:t>
      </w:r>
      <w:r w:rsidRPr="00402D79">
        <w:rPr>
          <w:i/>
          <w:iCs/>
          <w:highlight w:val="yellow"/>
        </w:rPr>
        <w:t>2019 and 2021</w:t>
      </w:r>
      <w:r w:rsidR="00AA7851">
        <w:rPr>
          <w:i/>
          <w:iCs/>
          <w:highlight w:val="yellow"/>
        </w:rPr>
        <w:t>–</w:t>
      </w:r>
      <w:r w:rsidRPr="00402D79">
        <w:rPr>
          <w:i/>
          <w:iCs/>
          <w:highlight w:val="yellow"/>
        </w:rPr>
        <w:t>2025</w:t>
      </w:r>
    </w:p>
    <w:p w:rsidRPr="00740488" w:rsidR="003339A8" w:rsidP="00740488" w:rsidRDefault="003339A8" w14:paraId="3724A3F4" w14:textId="7D214281">
      <w:r w:rsidRPr="003339A8">
        <w:rPr>
          <w:noProof/>
        </w:rPr>
        <w:drawing>
          <wp:inline distT="0" distB="0" distL="0" distR="0" wp14:anchorId="000158E3" wp14:editId="4EBBA00E">
            <wp:extent cx="4311872" cy="3416476"/>
            <wp:effectExtent l="0" t="0" r="0" b="0"/>
            <wp:docPr id="10958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5766" name=""/>
                    <pic:cNvPicPr/>
                  </pic:nvPicPr>
                  <pic:blipFill>
                    <a:blip r:embed="rId21"/>
                    <a:stretch>
                      <a:fillRect/>
                    </a:stretch>
                  </pic:blipFill>
                  <pic:spPr>
                    <a:xfrm>
                      <a:off x="0" y="0"/>
                      <a:ext cx="4311872" cy="3416476"/>
                    </a:xfrm>
                    <a:prstGeom prst="rect">
                      <a:avLst/>
                    </a:prstGeom>
                  </pic:spPr>
                </pic:pic>
              </a:graphicData>
            </a:graphic>
          </wp:inline>
        </w:drawing>
      </w:r>
    </w:p>
    <w:p w:rsidRPr="00740488" w:rsidR="00740488" w:rsidP="00740488" w:rsidRDefault="00740488" w14:paraId="6142F8C9" w14:textId="0EFDF3A8">
      <w:r w:rsidRPr="3A5849E2" w:rsidR="6EEDD8F6">
        <w:rPr>
          <w:lang w:val="en-US"/>
        </w:rPr>
        <w:t xml:space="preserve">This matters because several industries in retreat </w:t>
      </w:r>
      <w:r w:rsidRPr="3A5849E2" w:rsidR="2B885530">
        <w:rPr>
          <w:lang w:val="en-US"/>
        </w:rPr>
        <w:t>–</w:t>
      </w:r>
      <w:r w:rsidRPr="3A5849E2" w:rsidR="6EEDD8F6">
        <w:rPr>
          <w:lang w:val="en-US"/>
        </w:rPr>
        <w:t xml:space="preserve"> including agribusiness, consumer goods, textiles and traditional transport equipment </w:t>
      </w:r>
      <w:r w:rsidRPr="3A5849E2" w:rsidR="2B885530">
        <w:rPr>
          <w:lang w:val="en-US"/>
        </w:rPr>
        <w:t>–</w:t>
      </w:r>
      <w:r w:rsidRPr="3A5849E2" w:rsidR="6EEDD8F6">
        <w:rPr>
          <w:lang w:val="en-US"/>
        </w:rPr>
        <w:t xml:space="preserve"> have historically offered developing countries entry points into international production</w:t>
      </w:r>
      <w:r w:rsidRPr="3A5849E2" w:rsidR="62DDB9DC">
        <w:rPr>
          <w:lang w:val="en-US"/>
        </w:rPr>
        <w:t xml:space="preserve"> networks</w:t>
      </w:r>
      <w:r w:rsidRPr="3A5849E2" w:rsidR="6EEDD8F6">
        <w:rPr>
          <w:lang w:val="en-US"/>
        </w:rPr>
        <w:t>.</w:t>
      </w:r>
    </w:p>
    <w:p w:rsidR="00740488" w:rsidP="00740488" w:rsidRDefault="00740488" w14:paraId="614F21F1" w14:textId="3B19ED7E">
      <w:r w:rsidRPr="3A5849E2" w:rsidR="6EEDD8F6">
        <w:rPr>
          <w:b w:val="1"/>
          <w:bCs w:val="1"/>
          <w:lang w:val="en-US"/>
        </w:rPr>
        <w:t>Supply-chain shifts are creating selective opportunities for</w:t>
      </w:r>
      <w:r w:rsidRPr="3A5849E2" w:rsidR="724E2201">
        <w:rPr>
          <w:b w:val="1"/>
          <w:bCs w:val="1"/>
          <w:lang w:val="en-US"/>
        </w:rPr>
        <w:t xml:space="preserve"> </w:t>
      </w:r>
      <w:r w:rsidRPr="3A5849E2" w:rsidR="6EEDD8F6">
        <w:rPr>
          <w:b w:val="1"/>
          <w:bCs w:val="1"/>
          <w:lang w:val="en-US"/>
        </w:rPr>
        <w:t>developing countries.</w:t>
      </w:r>
      <w:r w:rsidRPr="3A5849E2" w:rsidR="6EEDD8F6">
        <w:rPr>
          <w:lang w:val="en-US"/>
        </w:rPr>
        <w:t xml:space="preserve"> India and Viet Nam are gaining investment in electronics. Brazil, India, Morocco and Thailand are attracting electric vehicle projects. Mexico is strengthening its role as a manufacturing platform linked to the U</w:t>
      </w:r>
      <w:r w:rsidRPr="3A5849E2" w:rsidR="42E98EB8">
        <w:rPr>
          <w:lang w:val="en-US"/>
        </w:rPr>
        <w:t>S</w:t>
      </w:r>
      <w:r w:rsidRPr="3A5849E2" w:rsidR="6EEDD8F6">
        <w:rPr>
          <w:lang w:val="en-US"/>
        </w:rPr>
        <w:t>.</w:t>
      </w:r>
    </w:p>
    <w:p w:rsidRPr="00740488" w:rsidR="00847663" w:rsidP="00740488" w:rsidRDefault="00847663" w14:paraId="7D5AFC5E" w14:textId="47F4B0FB">
      <w:r w:rsidRPr="3A5849E2" w:rsidR="04C64145">
        <w:rPr>
          <w:lang w:val="en-US"/>
        </w:rPr>
        <w:t>This is</w:t>
      </w:r>
      <w:r w:rsidRPr="3A5849E2" w:rsidR="04C64145">
        <w:rPr>
          <w:lang w:val="en-US"/>
        </w:rPr>
        <w:t>n’t</w:t>
      </w:r>
      <w:r w:rsidRPr="3A5849E2" w:rsidR="04C64145">
        <w:rPr>
          <w:lang w:val="en-US"/>
        </w:rPr>
        <w:t xml:space="preserve"> a broad shift towards nearby production. Firms increasingly favour locations that reduce supply-chain risks, preserve access to major markets and offer compatible and predictable policies.</w:t>
      </w:r>
    </w:p>
    <w:p w:rsidRPr="00740488" w:rsidR="00740488" w:rsidP="00740488" w:rsidRDefault="00847663" w14:paraId="272FDE21" w14:textId="137DAFC8">
      <w:r>
        <w:rPr>
          <w:b/>
          <w:bCs/>
        </w:rPr>
        <w:t>L</w:t>
      </w:r>
      <w:r w:rsidRPr="002E3F6D" w:rsidR="00740488">
        <w:rPr>
          <w:b/>
          <w:bCs/>
        </w:rPr>
        <w:t>ow-income economies are losing further ground</w:t>
      </w:r>
      <w:r w:rsidRPr="00740488" w:rsidR="00740488">
        <w:t>. Their share of manufacturing investment fell from 2% to 1%, while the value of projects declined by 70%.</w:t>
      </w:r>
    </w:p>
    <w:p w:rsidR="00740488" w:rsidP="3A5849E2" w:rsidRDefault="00740488" w14:paraId="7269666F" w14:textId="033A31DB">
      <w:pPr>
        <w:rPr>
          <w:i w:val="1"/>
          <w:iCs w:val="1"/>
          <w:lang w:val="en-US"/>
        </w:rPr>
      </w:pPr>
      <w:r w:rsidRPr="3A5849E2" w:rsidR="6EEDD8F6">
        <w:rPr>
          <w:b w:val="1"/>
          <w:bCs w:val="1"/>
          <w:highlight w:val="yellow"/>
          <w:lang w:val="en-US"/>
        </w:rPr>
        <w:t>FIGURE III.23</w:t>
      </w:r>
      <w:r>
        <w:br/>
      </w:r>
      <w:r w:rsidRPr="3A5849E2" w:rsidR="6EEDD8F6">
        <w:rPr>
          <w:b w:val="1"/>
          <w:bCs w:val="1"/>
          <w:highlight w:val="yellow"/>
          <w:lang w:val="en-US"/>
        </w:rPr>
        <w:t>Low-income economies lose further ground in manufacturing investment</w:t>
      </w:r>
      <w:r>
        <w:br/>
      </w:r>
      <w:r w:rsidRPr="3A5849E2" w:rsidR="6EEDD8F6">
        <w:rPr>
          <w:i w:val="1"/>
          <w:iCs w:val="1"/>
          <w:highlight w:val="yellow"/>
          <w:lang w:val="en-US"/>
        </w:rPr>
        <w:t>Share of announced greenfield investment in manufacturing outside strategic sectors, by recipient-country income group, percentage, 2015</w:t>
      </w:r>
      <w:r w:rsidRPr="3A5849E2" w:rsidR="2B885530">
        <w:rPr>
          <w:i w:val="1"/>
          <w:iCs w:val="1"/>
          <w:highlight w:val="yellow"/>
          <w:lang w:val="en-US"/>
        </w:rPr>
        <w:t>–</w:t>
      </w:r>
      <w:r w:rsidRPr="3A5849E2" w:rsidR="6EEDD8F6">
        <w:rPr>
          <w:i w:val="1"/>
          <w:iCs w:val="1"/>
          <w:highlight w:val="yellow"/>
          <w:lang w:val="en-US"/>
        </w:rPr>
        <w:t>2019 and 2021</w:t>
      </w:r>
      <w:r w:rsidRPr="3A5849E2" w:rsidR="2B885530">
        <w:rPr>
          <w:i w:val="1"/>
          <w:iCs w:val="1"/>
          <w:highlight w:val="yellow"/>
          <w:lang w:val="en-US"/>
        </w:rPr>
        <w:t>–</w:t>
      </w:r>
      <w:r w:rsidRPr="3A5849E2" w:rsidR="6EEDD8F6">
        <w:rPr>
          <w:i w:val="1"/>
          <w:iCs w:val="1"/>
          <w:highlight w:val="yellow"/>
          <w:lang w:val="en-US"/>
        </w:rPr>
        <w:t>2025</w:t>
      </w:r>
    </w:p>
    <w:p w:rsidRPr="00740488" w:rsidR="00C93642" w:rsidP="00740488" w:rsidRDefault="00C93642" w14:paraId="7F48532C" w14:textId="69C17CEE">
      <w:r w:rsidRPr="00C93642">
        <w:rPr>
          <w:noProof/>
        </w:rPr>
        <w:drawing>
          <wp:inline distT="0" distB="0" distL="0" distR="0" wp14:anchorId="3EE292EC" wp14:editId="152B471F">
            <wp:extent cx="4216617" cy="3149762"/>
            <wp:effectExtent l="0" t="0" r="0" b="0"/>
            <wp:docPr id="972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40" name=""/>
                    <pic:cNvPicPr/>
                  </pic:nvPicPr>
                  <pic:blipFill>
                    <a:blip r:embed="rId22"/>
                    <a:stretch>
                      <a:fillRect/>
                    </a:stretch>
                  </pic:blipFill>
                  <pic:spPr>
                    <a:xfrm>
                      <a:off x="0" y="0"/>
                      <a:ext cx="4216617" cy="3149762"/>
                    </a:xfrm>
                    <a:prstGeom prst="rect">
                      <a:avLst/>
                    </a:prstGeom>
                  </pic:spPr>
                </pic:pic>
              </a:graphicData>
            </a:graphic>
          </wp:inline>
        </w:drawing>
      </w:r>
    </w:p>
    <w:p w:rsidRPr="00740488" w:rsidR="00740488" w:rsidP="00740488" w:rsidRDefault="00740488" w14:paraId="1B059119" w14:textId="77777777">
      <w:pPr>
        <w:rPr>
          <w:b/>
          <w:bCs/>
        </w:rPr>
      </w:pPr>
      <w:r w:rsidRPr="00740488">
        <w:rPr>
          <w:b/>
          <w:bCs/>
        </w:rPr>
        <w:t>Calls to action</w:t>
      </w:r>
    </w:p>
    <w:p w:rsidR="00B81723" w:rsidP="00B81723" w:rsidRDefault="00740488" w14:paraId="290BEC02" w14:textId="77777777">
      <w:pPr>
        <w:pStyle w:val="ListParagraph"/>
        <w:numPr>
          <w:ilvl w:val="0"/>
          <w:numId w:val="12"/>
        </w:numPr>
        <w:rPr/>
      </w:pPr>
      <w:r w:rsidRPr="3A5849E2" w:rsidR="6EEDD8F6">
        <w:rPr>
          <w:b w:val="1"/>
          <w:bCs w:val="1"/>
          <w:lang w:val="en-US"/>
        </w:rPr>
        <w:t>Target realistic opportunities.</w:t>
      </w:r>
      <w:r w:rsidRPr="3A5849E2" w:rsidR="6EEDD8F6">
        <w:rPr>
          <w:lang w:val="en-US"/>
        </w:rPr>
        <w:t xml:space="preserve"> Developing countries should focus on activities, stages of production, locations or industrial clusters where they can build a credible competitive advantage.</w:t>
      </w:r>
    </w:p>
    <w:p w:rsidR="00B81723" w:rsidP="00B81723" w:rsidRDefault="00740488" w14:paraId="551B426A" w14:textId="77777777">
      <w:pPr>
        <w:pStyle w:val="ListParagraph"/>
        <w:numPr>
          <w:ilvl w:val="0"/>
          <w:numId w:val="12"/>
        </w:numPr>
        <w:rPr/>
      </w:pPr>
      <w:r w:rsidRPr="3A5849E2" w:rsidR="6EEDD8F6">
        <w:rPr>
          <w:b w:val="1"/>
          <w:bCs w:val="1"/>
          <w:lang w:val="en-US"/>
        </w:rPr>
        <w:t>Build the foundations investors need.</w:t>
      </w:r>
      <w:r w:rsidRPr="3A5849E2" w:rsidR="6EEDD8F6">
        <w:rPr>
          <w:lang w:val="en-US"/>
        </w:rPr>
        <w:t xml:space="preserve"> Governments should prioritize reliable infrastructure,</w:t>
      </w:r>
      <w:r w:rsidRPr="3A5849E2" w:rsidR="52C4A146">
        <w:rPr>
          <w:lang w:val="en-US"/>
        </w:rPr>
        <w:t xml:space="preserve"> </w:t>
      </w:r>
      <w:r w:rsidRPr="3A5849E2" w:rsidR="6EEDD8F6">
        <w:rPr>
          <w:lang w:val="en-US"/>
        </w:rPr>
        <w:t>skills, supplier networks, standards and financing that can mobilize private investment around selected activities.</w:t>
      </w:r>
    </w:p>
    <w:p w:rsidR="001D7ECD" w:rsidP="001D7ECD" w:rsidRDefault="00740488" w14:paraId="4ADB9AA1" w14:textId="77777777">
      <w:pPr>
        <w:pStyle w:val="ListParagraph"/>
        <w:numPr>
          <w:ilvl w:val="0"/>
          <w:numId w:val="12"/>
        </w:numPr>
        <w:rPr/>
      </w:pPr>
      <w:r w:rsidRPr="3A5849E2" w:rsidR="6EEDD8F6">
        <w:rPr>
          <w:b w:val="1"/>
          <w:bCs w:val="1"/>
          <w:lang w:val="en-US"/>
        </w:rPr>
        <w:t>Avoid an unaffordable subsidy race.</w:t>
      </w:r>
      <w:r w:rsidRPr="3A5849E2" w:rsidR="6EEDD8F6">
        <w:rPr>
          <w:lang w:val="en-US"/>
        </w:rPr>
        <w:t xml:space="preserve"> </w:t>
      </w:r>
      <w:r w:rsidRPr="3A5849E2" w:rsidR="52C4A146">
        <w:rPr>
          <w:lang w:val="en-US"/>
        </w:rPr>
        <w:t>Use l</w:t>
      </w:r>
      <w:r w:rsidRPr="3A5849E2" w:rsidR="6EEDD8F6">
        <w:rPr>
          <w:lang w:val="en-US"/>
        </w:rPr>
        <w:t>imited public resources</w:t>
      </w:r>
      <w:r w:rsidRPr="3A5849E2" w:rsidR="52C4A146">
        <w:rPr>
          <w:lang w:val="en-US"/>
        </w:rPr>
        <w:t xml:space="preserve"> to</w:t>
      </w:r>
      <w:r w:rsidRPr="3A5849E2" w:rsidR="6EEDD8F6">
        <w:rPr>
          <w:lang w:val="en-US"/>
        </w:rPr>
        <w:t xml:space="preserve"> remove investment bottlenecks and link incentives to local value addition, skills</w:t>
      </w:r>
      <w:r w:rsidRPr="3A5849E2" w:rsidR="1E6EAB0B">
        <w:rPr>
          <w:lang w:val="en-US"/>
        </w:rPr>
        <w:t xml:space="preserve"> and</w:t>
      </w:r>
      <w:r w:rsidRPr="3A5849E2" w:rsidR="6EEDD8F6">
        <w:rPr>
          <w:lang w:val="en-US"/>
        </w:rPr>
        <w:t xml:space="preserve"> supplier development.</w:t>
      </w:r>
    </w:p>
    <w:p w:rsidRPr="00740488" w:rsidR="00740488" w:rsidP="001D7ECD" w:rsidRDefault="00740488" w14:paraId="10AEFD36" w14:textId="16BC2B70">
      <w:pPr>
        <w:pStyle w:val="ListParagraph"/>
        <w:numPr>
          <w:ilvl w:val="0"/>
          <w:numId w:val="12"/>
        </w:numPr>
        <w:rPr/>
      </w:pPr>
      <w:r w:rsidRPr="3A5849E2" w:rsidR="6EEDD8F6">
        <w:rPr>
          <w:b w:val="1"/>
          <w:bCs w:val="1"/>
          <w:lang w:val="en-US"/>
        </w:rPr>
        <w:t>Use regional cooperation to create scale.</w:t>
      </w:r>
      <w:r w:rsidRPr="3A5849E2" w:rsidR="6EEDD8F6">
        <w:rPr>
          <w:lang w:val="en-US"/>
        </w:rPr>
        <w:t xml:space="preserve"> Connected industrial zones, transport corridors, shared infrastructure and supplier networks can offer investors opportunities that individual countries can</w:t>
      </w:r>
      <w:r w:rsidRPr="3A5849E2" w:rsidR="6E8ABB73">
        <w:rPr>
          <w:lang w:val="en-US"/>
        </w:rPr>
        <w:t>’t</w:t>
      </w:r>
      <w:r w:rsidRPr="3A5849E2" w:rsidR="6EEDD8F6">
        <w:rPr>
          <w:lang w:val="en-US"/>
        </w:rPr>
        <w:t xml:space="preserve"> provide alone.</w:t>
      </w:r>
    </w:p>
    <w:p w:rsidRPr="006738F9" w:rsidR="00740488" w:rsidRDefault="00740488" w14:paraId="261C53BB" w14:textId="77777777">
      <w:pPr>
        <w:rPr>
          <w:lang w:val="en-US"/>
        </w:rPr>
      </w:pPr>
    </w:p>
    <w:sectPr w:rsidRPr="006738F9" w:rsidR="0074048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384E"/>
    <w:multiLevelType w:val="hybridMultilevel"/>
    <w:tmpl w:val="B52E2866"/>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 w15:restartNumberingAfterBreak="0">
    <w:nsid w:val="0E4A704D"/>
    <w:multiLevelType w:val="multilevel"/>
    <w:tmpl w:val="28664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856D7D"/>
    <w:multiLevelType w:val="multilevel"/>
    <w:tmpl w:val="555C1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EE40AD0"/>
    <w:multiLevelType w:val="multilevel"/>
    <w:tmpl w:val="D87C8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EC4B7C"/>
    <w:multiLevelType w:val="hybridMultilevel"/>
    <w:tmpl w:val="4B9C059E"/>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5" w15:restartNumberingAfterBreak="0">
    <w:nsid w:val="45CD1117"/>
    <w:multiLevelType w:val="multilevel"/>
    <w:tmpl w:val="9E0A8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9E47A8B"/>
    <w:multiLevelType w:val="hybridMultilevel"/>
    <w:tmpl w:val="CCE28ECA"/>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7" w15:restartNumberingAfterBreak="0">
    <w:nsid w:val="60B36E9F"/>
    <w:multiLevelType w:val="hybridMultilevel"/>
    <w:tmpl w:val="2318A8F8"/>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8" w15:restartNumberingAfterBreak="0">
    <w:nsid w:val="631E4B46"/>
    <w:multiLevelType w:val="hybridMultilevel"/>
    <w:tmpl w:val="DE32D42C"/>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9" w15:restartNumberingAfterBreak="0">
    <w:nsid w:val="63F627FF"/>
    <w:multiLevelType w:val="multilevel"/>
    <w:tmpl w:val="1EE6D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C7735C3"/>
    <w:multiLevelType w:val="hybridMultilevel"/>
    <w:tmpl w:val="586813E8"/>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11" w15:restartNumberingAfterBreak="0">
    <w:nsid w:val="7CE233C6"/>
    <w:multiLevelType w:val="hybridMultilevel"/>
    <w:tmpl w:val="002CF2DC"/>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num w:numId="1" w16cid:durableId="2006086743">
    <w:abstractNumId w:val="2"/>
  </w:num>
  <w:num w:numId="2" w16cid:durableId="746728381">
    <w:abstractNumId w:val="9"/>
  </w:num>
  <w:num w:numId="3" w16cid:durableId="62724707">
    <w:abstractNumId w:val="1"/>
  </w:num>
  <w:num w:numId="4" w16cid:durableId="1946225292">
    <w:abstractNumId w:val="6"/>
  </w:num>
  <w:num w:numId="5" w16cid:durableId="1179538385">
    <w:abstractNumId w:val="3"/>
  </w:num>
  <w:num w:numId="6" w16cid:durableId="881594623">
    <w:abstractNumId w:val="5"/>
  </w:num>
  <w:num w:numId="7" w16cid:durableId="464204722">
    <w:abstractNumId w:val="7"/>
  </w:num>
  <w:num w:numId="8" w16cid:durableId="765732491">
    <w:abstractNumId w:val="8"/>
  </w:num>
  <w:num w:numId="9" w16cid:durableId="1748771061">
    <w:abstractNumId w:val="11"/>
  </w:num>
  <w:num w:numId="10" w16cid:durableId="652224380">
    <w:abstractNumId w:val="0"/>
  </w:num>
  <w:num w:numId="11" w16cid:durableId="1333800320">
    <w:abstractNumId w:val="4"/>
  </w:num>
  <w:num w:numId="12" w16cid:durableId="93011604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F9"/>
    <w:rsid w:val="00023144"/>
    <w:rsid w:val="00044360"/>
    <w:rsid w:val="000754DF"/>
    <w:rsid w:val="00097BD5"/>
    <w:rsid w:val="000A2674"/>
    <w:rsid w:val="000B325C"/>
    <w:rsid w:val="000B39E0"/>
    <w:rsid w:val="000D47EB"/>
    <w:rsid w:val="000E5AA6"/>
    <w:rsid w:val="0011345A"/>
    <w:rsid w:val="00140621"/>
    <w:rsid w:val="00140BC0"/>
    <w:rsid w:val="00141253"/>
    <w:rsid w:val="0014556B"/>
    <w:rsid w:val="001B3BE5"/>
    <w:rsid w:val="001B5BB3"/>
    <w:rsid w:val="001B770B"/>
    <w:rsid w:val="001C0134"/>
    <w:rsid w:val="001C4778"/>
    <w:rsid w:val="001D449B"/>
    <w:rsid w:val="001D7ECD"/>
    <w:rsid w:val="001F3FB5"/>
    <w:rsid w:val="002307D2"/>
    <w:rsid w:val="00232F19"/>
    <w:rsid w:val="002641DD"/>
    <w:rsid w:val="00265169"/>
    <w:rsid w:val="002B6461"/>
    <w:rsid w:val="002C3273"/>
    <w:rsid w:val="002E3F6D"/>
    <w:rsid w:val="00300823"/>
    <w:rsid w:val="003339A8"/>
    <w:rsid w:val="00333E8A"/>
    <w:rsid w:val="00343CAC"/>
    <w:rsid w:val="003A01A2"/>
    <w:rsid w:val="003A66B5"/>
    <w:rsid w:val="003B0A02"/>
    <w:rsid w:val="003B42B8"/>
    <w:rsid w:val="003D5EA8"/>
    <w:rsid w:val="003D5EE3"/>
    <w:rsid w:val="00402D79"/>
    <w:rsid w:val="0042171C"/>
    <w:rsid w:val="00474974"/>
    <w:rsid w:val="004A1EA8"/>
    <w:rsid w:val="004B1820"/>
    <w:rsid w:val="004C67C2"/>
    <w:rsid w:val="004C7935"/>
    <w:rsid w:val="004D1679"/>
    <w:rsid w:val="004D4E08"/>
    <w:rsid w:val="005101BA"/>
    <w:rsid w:val="00530642"/>
    <w:rsid w:val="0053600D"/>
    <w:rsid w:val="00543B17"/>
    <w:rsid w:val="0055396D"/>
    <w:rsid w:val="005D41A2"/>
    <w:rsid w:val="005E7240"/>
    <w:rsid w:val="005F6F15"/>
    <w:rsid w:val="00603F27"/>
    <w:rsid w:val="006114E4"/>
    <w:rsid w:val="0061167D"/>
    <w:rsid w:val="0064428E"/>
    <w:rsid w:val="00665216"/>
    <w:rsid w:val="006738F9"/>
    <w:rsid w:val="006804E8"/>
    <w:rsid w:val="0069215D"/>
    <w:rsid w:val="006A3D20"/>
    <w:rsid w:val="006A5A62"/>
    <w:rsid w:val="006B165D"/>
    <w:rsid w:val="006D255F"/>
    <w:rsid w:val="006D6747"/>
    <w:rsid w:val="006E2129"/>
    <w:rsid w:val="006F3DF3"/>
    <w:rsid w:val="00716F8E"/>
    <w:rsid w:val="007333B3"/>
    <w:rsid w:val="00740488"/>
    <w:rsid w:val="007628B4"/>
    <w:rsid w:val="0076397F"/>
    <w:rsid w:val="00770B92"/>
    <w:rsid w:val="007A139E"/>
    <w:rsid w:val="007A52CC"/>
    <w:rsid w:val="007B7B49"/>
    <w:rsid w:val="007D2BEC"/>
    <w:rsid w:val="007F55C7"/>
    <w:rsid w:val="007F5DBD"/>
    <w:rsid w:val="007F7771"/>
    <w:rsid w:val="00804605"/>
    <w:rsid w:val="00823FE0"/>
    <w:rsid w:val="00836237"/>
    <w:rsid w:val="008416AD"/>
    <w:rsid w:val="00842DFA"/>
    <w:rsid w:val="00847663"/>
    <w:rsid w:val="00861143"/>
    <w:rsid w:val="0088289E"/>
    <w:rsid w:val="00885C65"/>
    <w:rsid w:val="00887B9F"/>
    <w:rsid w:val="00891A9D"/>
    <w:rsid w:val="00896319"/>
    <w:rsid w:val="008A44C7"/>
    <w:rsid w:val="008C3719"/>
    <w:rsid w:val="008D5FA1"/>
    <w:rsid w:val="009244C6"/>
    <w:rsid w:val="009657FF"/>
    <w:rsid w:val="00977D25"/>
    <w:rsid w:val="009A2CED"/>
    <w:rsid w:val="009A5B79"/>
    <w:rsid w:val="00A030FB"/>
    <w:rsid w:val="00A529D5"/>
    <w:rsid w:val="00A64992"/>
    <w:rsid w:val="00AA5B20"/>
    <w:rsid w:val="00AA7851"/>
    <w:rsid w:val="00AC1EE8"/>
    <w:rsid w:val="00AE471A"/>
    <w:rsid w:val="00AF2E37"/>
    <w:rsid w:val="00B13699"/>
    <w:rsid w:val="00B23DDF"/>
    <w:rsid w:val="00B50F46"/>
    <w:rsid w:val="00B60370"/>
    <w:rsid w:val="00B81723"/>
    <w:rsid w:val="00B97663"/>
    <w:rsid w:val="00BB22C9"/>
    <w:rsid w:val="00BB33FC"/>
    <w:rsid w:val="00BC5E0E"/>
    <w:rsid w:val="00BF12D5"/>
    <w:rsid w:val="00C0634C"/>
    <w:rsid w:val="00C20760"/>
    <w:rsid w:val="00C3629C"/>
    <w:rsid w:val="00C57066"/>
    <w:rsid w:val="00C77493"/>
    <w:rsid w:val="00C93642"/>
    <w:rsid w:val="00C9376F"/>
    <w:rsid w:val="00C96272"/>
    <w:rsid w:val="00CA2155"/>
    <w:rsid w:val="00CA2839"/>
    <w:rsid w:val="00CF035C"/>
    <w:rsid w:val="00CF1F21"/>
    <w:rsid w:val="00D02B97"/>
    <w:rsid w:val="00D364D4"/>
    <w:rsid w:val="00D73515"/>
    <w:rsid w:val="00D83040"/>
    <w:rsid w:val="00DA612B"/>
    <w:rsid w:val="00DC2007"/>
    <w:rsid w:val="00DC302F"/>
    <w:rsid w:val="00DE33FC"/>
    <w:rsid w:val="00DE34AF"/>
    <w:rsid w:val="00E017E5"/>
    <w:rsid w:val="00E204A3"/>
    <w:rsid w:val="00E52C17"/>
    <w:rsid w:val="00E56AA0"/>
    <w:rsid w:val="00E95034"/>
    <w:rsid w:val="00E97482"/>
    <w:rsid w:val="00E9798F"/>
    <w:rsid w:val="00EA3343"/>
    <w:rsid w:val="00EA4C4B"/>
    <w:rsid w:val="00EB1D3D"/>
    <w:rsid w:val="00ED2ACB"/>
    <w:rsid w:val="00EE0F5B"/>
    <w:rsid w:val="00EF357A"/>
    <w:rsid w:val="00F00A36"/>
    <w:rsid w:val="00F3212D"/>
    <w:rsid w:val="00F7227E"/>
    <w:rsid w:val="00F942E7"/>
    <w:rsid w:val="00FA3F32"/>
    <w:rsid w:val="00FB1AC1"/>
    <w:rsid w:val="00FD0D7D"/>
    <w:rsid w:val="0161036D"/>
    <w:rsid w:val="01BA36EA"/>
    <w:rsid w:val="04C64145"/>
    <w:rsid w:val="08676BDF"/>
    <w:rsid w:val="08CA33C4"/>
    <w:rsid w:val="0912E6D2"/>
    <w:rsid w:val="0CCF65CC"/>
    <w:rsid w:val="0E37A68D"/>
    <w:rsid w:val="12EE1033"/>
    <w:rsid w:val="16E3C2D0"/>
    <w:rsid w:val="1BF72839"/>
    <w:rsid w:val="1E6EAB0B"/>
    <w:rsid w:val="26973EBE"/>
    <w:rsid w:val="2B885530"/>
    <w:rsid w:val="38906098"/>
    <w:rsid w:val="3A01F81F"/>
    <w:rsid w:val="3A42C36C"/>
    <w:rsid w:val="3A5849E2"/>
    <w:rsid w:val="3A64E797"/>
    <w:rsid w:val="3A7B8C7D"/>
    <w:rsid w:val="3C5BD683"/>
    <w:rsid w:val="42A1C489"/>
    <w:rsid w:val="42E98EB8"/>
    <w:rsid w:val="456D2F97"/>
    <w:rsid w:val="46604E18"/>
    <w:rsid w:val="466F5F4E"/>
    <w:rsid w:val="49D0836D"/>
    <w:rsid w:val="4A6AC73A"/>
    <w:rsid w:val="4CE3999B"/>
    <w:rsid w:val="5076E34C"/>
    <w:rsid w:val="52C4A146"/>
    <w:rsid w:val="53ED6216"/>
    <w:rsid w:val="542C6933"/>
    <w:rsid w:val="54440BEB"/>
    <w:rsid w:val="55435B53"/>
    <w:rsid w:val="56777C46"/>
    <w:rsid w:val="5C9E89D0"/>
    <w:rsid w:val="62DDB9DC"/>
    <w:rsid w:val="6655B354"/>
    <w:rsid w:val="6A2E361F"/>
    <w:rsid w:val="6E8ABB73"/>
    <w:rsid w:val="6EEDD8F6"/>
    <w:rsid w:val="724E2201"/>
    <w:rsid w:val="730AF2C0"/>
    <w:rsid w:val="746C8872"/>
    <w:rsid w:val="7530C72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6F2AF"/>
  <w15:chartTrackingRefBased/>
  <w15:docId w15:val="{16011CFF-21B4-4C59-B4D4-CDA80CB0B5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H" w:eastAsia="en-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738F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8F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8F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738F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738F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738F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738F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738F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738F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738F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738F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738F9"/>
    <w:rPr>
      <w:rFonts w:eastAsiaTheme="majorEastAsia" w:cstheme="majorBidi"/>
      <w:color w:val="272727" w:themeColor="text1" w:themeTint="D8"/>
    </w:rPr>
  </w:style>
  <w:style w:type="paragraph" w:styleId="Title">
    <w:name w:val="Title"/>
    <w:basedOn w:val="Normal"/>
    <w:next w:val="Normal"/>
    <w:link w:val="TitleChar"/>
    <w:uiPriority w:val="10"/>
    <w:qFormat/>
    <w:rsid w:val="006738F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738F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738F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73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8F9"/>
    <w:pPr>
      <w:spacing w:before="160"/>
      <w:jc w:val="center"/>
    </w:pPr>
    <w:rPr>
      <w:i/>
      <w:iCs/>
      <w:color w:val="404040" w:themeColor="text1" w:themeTint="BF"/>
    </w:rPr>
  </w:style>
  <w:style w:type="character" w:styleId="QuoteChar" w:customStyle="1">
    <w:name w:val="Quote Char"/>
    <w:basedOn w:val="DefaultParagraphFont"/>
    <w:link w:val="Quote"/>
    <w:uiPriority w:val="29"/>
    <w:rsid w:val="006738F9"/>
    <w:rPr>
      <w:i/>
      <w:iCs/>
      <w:color w:val="404040" w:themeColor="text1" w:themeTint="BF"/>
    </w:rPr>
  </w:style>
  <w:style w:type="paragraph" w:styleId="ListParagraph">
    <w:name w:val="List Paragraph"/>
    <w:basedOn w:val="Normal"/>
    <w:uiPriority w:val="34"/>
    <w:qFormat/>
    <w:rsid w:val="006738F9"/>
    <w:pPr>
      <w:ind w:left="720"/>
      <w:contextualSpacing/>
    </w:pPr>
  </w:style>
  <w:style w:type="character" w:styleId="IntenseEmphasis">
    <w:name w:val="Intense Emphasis"/>
    <w:basedOn w:val="DefaultParagraphFont"/>
    <w:uiPriority w:val="21"/>
    <w:qFormat/>
    <w:rsid w:val="006738F9"/>
    <w:rPr>
      <w:i/>
      <w:iCs/>
      <w:color w:val="0F4761" w:themeColor="accent1" w:themeShade="BF"/>
    </w:rPr>
  </w:style>
  <w:style w:type="paragraph" w:styleId="IntenseQuote">
    <w:name w:val="Intense Quote"/>
    <w:basedOn w:val="Normal"/>
    <w:next w:val="Normal"/>
    <w:link w:val="IntenseQuoteChar"/>
    <w:uiPriority w:val="30"/>
    <w:qFormat/>
    <w:rsid w:val="006738F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738F9"/>
    <w:rPr>
      <w:i/>
      <w:iCs/>
      <w:color w:val="0F4761" w:themeColor="accent1" w:themeShade="BF"/>
    </w:rPr>
  </w:style>
  <w:style w:type="character" w:styleId="IntenseReference">
    <w:name w:val="Intense Reference"/>
    <w:basedOn w:val="DefaultParagraphFont"/>
    <w:uiPriority w:val="32"/>
    <w:qFormat/>
    <w:rsid w:val="006738F9"/>
    <w:rPr>
      <w:b/>
      <w:bCs/>
      <w:smallCaps/>
      <w:color w:val="0F4761" w:themeColor="accent1" w:themeShade="BF"/>
      <w:spacing w:val="5"/>
    </w:rPr>
  </w:style>
  <w:style w:type="character" w:styleId="Strong">
    <w:name w:val="Strong"/>
    <w:basedOn w:val="DefaultParagraphFont"/>
    <w:uiPriority w:val="22"/>
    <w:qFormat/>
    <w:rsid w:val="00611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theme" Target="theme/theme1.xml" Id="rId24"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fontTable" Target="fontTable.xml" Id="rId23"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Timothy Sullivan</dc:creator>
  <keywords/>
  <dc:description/>
  <lastModifiedBy>Alona Sosiedko</lastModifiedBy>
  <revision>4</revision>
  <dcterms:created xsi:type="dcterms:W3CDTF">2026-06-23T16:47:00.0000000Z</dcterms:created>
  <dcterms:modified xsi:type="dcterms:W3CDTF">2026-06-23T17:03:27.7350860Z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afcbcae9-fc2a-4484-966f-8a901e56c31e</vt:lpwstr>
  </property>
</Properties>
</file>