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星云服务平台V1需求</w:t>
      </w:r>
    </w:p>
    <w:p>
      <w:pPr>
        <w:pStyle w:val="Heading1"/>
      </w:pPr>
      <w:r>
        <w:t>版本主线</w:t>
      </w:r>
    </w:p>
    <w:p>
      <w:r>
        <w:t>建设 AI 智能回复，结合沟通上下文生成专业回复内容。</w:t>
      </w:r>
    </w:p>
    <w:p>
      <w:r>
        <w:t>通过产品控制台嵌入和伙伴协作吸引更多客户使用服务平台。</w:t>
      </w:r>
    </w:p>
    <w:p>
      <w:pPr>
        <w:pStyle w:val="Heading1"/>
      </w:pPr>
      <w:r>
        <w:t>伙伴主导模式</w:t>
      </w:r>
    </w:p>
    <w:p>
      <w:r>
        <w:t>经营伙伴可以查看主导模式客户的工单和会话进展。</w:t>
      </w:r>
    </w:p>
    <w:p>
      <w:r>
        <w:t>伙伴可将工单转派给实际服务商，并继续查看处理进展。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