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  <w:body>
    <w:p>
  <w:pPr></w:pPr>
  <w:r>
    <w:rPr>
      <w:rFonts w:ascii="Georgia" w:hAnsi="Georgia"/>
      <w:b/>
      <w:sz w:val="46"/>
      <w:color w:val="D4AF37"/>
    </w:rPr>
    <w:t xml:space="preserve">ALBERTO WATCH COMPANY</w:t>
  </w:r>
</w:p><w:p>
  <w:pPr></w:pPr>
  <w:r>
    <w:rPr>
      <w:rFonts w:ascii="Georgia" w:hAnsi="Georgia"/>
      <w:b/>
      <w:sz w:val="26"/>
      <w:color w:val="10131A"/>
    </w:rPr>
    <w:t xml:space="preserve">Master Horological Platform & Architectural Documentation</w:t>
  </w:r>
</w:p><w:p>
  <w:pPr></w:pPr>
  <w:r>
    <w:rPr>
      <w:rFonts w:ascii="Calibri" w:hAnsi="Calibri"/>
      
      <w:sz w:val="20"/>
      <w:color w:val="777777"/>
    </w:rPr>
    <w:t xml:space="preserve">Independent Master Horology · Established 1987 · New York · Beverly Hills · Chicago</w:t>
  </w:r>
</w:p><w:p>
  <w:pPr></w:pPr>
  <w:r>
    <w:rPr>
      <w:rFonts w:ascii="Calibri" w:hAnsi="Calibri"/>
      
      <w:sz w:val="22"/>
      <w:color w:val="222222"/>
    </w:rPr>
    <w:t xml:space="preserve"></w:t>
  </w:r>
</w:p><w:p>
  <w:pPr><w:pStyle w:val="Heading1"/></w:pPr>
  <w:r>
    <w:rPr>
      <w:rFonts w:ascii="Georgia" w:hAnsi="Georgia"/>
      <w:b/>
      <w:sz w:val="32"/>
      <w:color w:val="0B0D12"/>
    </w:rPr>
    <w:t xml:space="preserve">1. Brand Narrative & Humanized Architecture</w:t>
  </w:r>
</w:p><w:p>
  <w:pPr></w:pPr>
  <w:r>
    <w:rPr>
      <w:rFonts w:ascii="Calibri" w:hAnsi="Calibri"/>
      
      <w:sz w:val="22"/>
      <w:color w:val="222222"/>
    </w:rPr>
    <w:t xml:space="preserve">The platform has been redesigned to reflect the quiet luxury, authenticity, and micro-mechanical precision of a genuine Swiss and American luxury watchmaker. All generic AI hallmarks (arcade visitor counters, carnival bottom tickers, corporate bulk-discount copy) have been excised in favor of genuine horological craft.</w:t>
  </w:r>
</w:p><w:p>
  <w:pPr></w:pPr>
  <w:r>
    <w:rPr>
      <w:rFonts w:ascii="Calibri" w:hAnsi="Calibri"/>
      
      <w:sz w:val="22"/>
      <w:color w:val="222222"/>
    </w:rPr>
    <w:t xml:space="preserve">Core Architectural Features:</w:t>
  </w:r>
</w:p><w:p>
  <w:pPr></w:pPr>
  <w:r>
    <w:rPr>
      <w:rFonts w:ascii="Calibri" w:hAnsi="Calibri"/>
      
      <w:sz w:val="22"/>
      <w:color w:val="222222"/>
    </w:rPr>
    <w:t xml:space="preserve">• Top Atelier Announcement Bar with direct Manhattan concierge telephone and private viewing requests.</w:t>
  </w:r>
</w:p><w:p>
  <w:pPr></w:pPr>
  <w:r>
    <w:rPr>
      <w:rFonts w:ascii="Calibri" w:hAnsi="Calibri"/>
      
      <w:sz w:val="22"/>
      <w:color w:val="222222"/>
    </w:rPr>
    <w:t xml:space="preserve">• Curated Vault & Collection featuring authentic reference numbers (Ref. 126331, Ref. AQ4020, etc.), manufacture calibres, and condition grades.</w:t>
  </w:r>
</w:p><w:p>
  <w:pPr></w:pPr>
  <w:r>
    <w:rPr>
      <w:rFonts w:ascii="Calibri" w:hAnsi="Calibri"/>
      
      <w:sz w:val="22"/>
      <w:color w:val="222222"/>
    </w:rPr>
    <w:t xml:space="preserve">• Interactive Private Collection Drawer ('Saved References') allowing clients to curate their personal portfolio with persistent storage.</w:t>
  </w:r>
</w:p><w:p>
  <w:pPr></w:pPr>
  <w:r>
    <w:rPr>
      <w:rFonts w:ascii="Calibri" w:hAnsi="Calibri"/>
      
      <w:sz w:val="22"/>
      <w:color w:val="222222"/>
    </w:rPr>
    <w:t xml:space="preserve">• Private Salon Consultation Modal for scheduling in-person viewings at the New York, Beverly Hills, or Chicago salons.</w:t>
  </w:r>
</w:p><w:p>
  <w:pPr></w:pPr>
  <w:r>
    <w:rPr>
      <w:rFonts w:ascii="Calibri" w:hAnsi="Calibri"/>
      
      <w:sz w:val="22"/>
      <w:color w:val="222222"/>
    </w:rPr>
    <w:t xml:space="preserve">• The Atelier Bench (replacing generic 'technology') showcasing calibre overhauls, Witschi chronoscope calibration, and lapidary case lapping.</w:t>
  </w:r>
</w:p><w:p>
  <w:pPr></w:pPr>
  <w:r>
    <w:rPr>
      <w:rFonts w:ascii="Calibri" w:hAnsi="Calibri"/>
      
      <w:sz w:val="22"/>
      <w:color w:val="222222"/>
    </w:rPr>
    <w:t xml:space="preserve">• The Reference & Acquisition Register: A refined horological database index with real-time filtering and provenance grades.</w:t>
  </w:r>
</w:p><w:p>
  <w:pPr></w:pPr>
  <w:r>
    <w:rPr>
      <w:rFonts w:ascii="Calibri" w:hAnsi="Calibri"/>
      
      <w:sz w:val="22"/>
      <w:color w:val="222222"/>
    </w:rPr>
    <w:t xml:space="preserve">• The Private Concierge Desk with customized intake for acquisitions, restorations, and GIA estate appraisals.</w:t>
  </w:r>
</w:p><w:p>
  <w:pPr></w:pPr>
  <w:r>
    <w:rPr>
      <w:rFonts w:ascii="Calibri" w:hAnsi="Calibri"/>
      
      <w:sz w:val="22"/>
      <w:color w:val="222222"/>
    </w:rPr>
    <w:t xml:space="preserve"></w:t>
  </w:r>
</w:p><w:p>
  <w:pPr><w:pStyle w:val="Heading1"/></w:pPr>
  <w:r>
    <w:rPr>
      <w:rFonts w:ascii="Georgia" w:hAnsi="Georgia"/>
      <w:b/>
      <w:sz w:val="32"/>
      <w:color w:val="0B0D12"/>
    </w:rPr>
    <w:t xml:space="preserve">2. Getting Started & Troubleshooting</w:t>
  </w:r>
</w:p><w:p>
  <w:pPr>
    <w:pBdr>
      <w:left w:val="single" w:sz="24" w:space="15" w:color="D4AF37"/>
    </w:pBdr>
    <w:shd w:val="clear" w:color="auto" w:fill="FCF9EE"/>
  </w:pPr>
  <w:r>
    <w:rPr>
      <w:i/>
      <w:sz w:val="20"/>
      <w:color w:val="555555"/>
    </w:rPr>
    <w:t xml:space="preserve">Both the root directory (Moses) and the subfolder (alberto-watch-company) are configured with package.json forwarding. You can run commands anywhere without encountering ENOENT errors.</w:t>
  </w:r>
</w:p><w:p>
  <w:pPr>
    <w:shd w:val="clear" w:color="auto" w:fill="10131A"/>
  </w:pPr>
  <w:r>
    <w:rPr>
      <w:rFonts w:ascii="Consolas" w:hAnsi="Consolas"/>
      <w:sz w:val="19"/>
      <w:color w:val="E6CB7E"/>
    </w:rPr>
    <w:t xml:space="preserve">npm run dev</w:t>
  </w:r>
</w:p><w:p>
  <w:pPr>
    <w:shd w:val="clear" w:color="auto" w:fill="10131A"/>
  </w:pPr>
  <w:r>
    <w:rPr>
      <w:rFonts w:ascii="Consolas" w:hAnsi="Consolas"/>
      <w:sz w:val="19"/>
      <w:color w:val="E6CB7E"/>
    </w:rPr>
    <w:t xml:space="preserve">npm run build</w:t>
  </w:r>
</w:p><w:p>
  <w:pPr>
    <w:shd w:val="clear" w:color="auto" w:fill="10131A"/>
  </w:pPr>
  <w:r>
    <w:rPr>
      <w:rFonts w:ascii="Consolas" w:hAnsi="Consolas"/>
      <w:sz w:val="19"/>
      <w:color w:val="E6CB7E"/>
    </w:rPr>
    <w:t xml:space="preserve">npm run lint</w:t>
  </w:r>
</w:p><w:p>
  <w:pPr></w:pPr>
  <w:r>
    <w:rPr>
      <w:rFonts w:ascii="Calibri" w:hAnsi="Calibri"/>
      
      <w:sz w:val="22"/>
      <w:color w:val="222222"/>
    </w:rPr>
    <w:t xml:space="preserve"></w:t>
  </w:r>
</w:p><w:p>
  <w:pPr><w:pStyle w:val="Heading2"/></w:pPr>
  <w:r>
    <w:rPr>
      <w:rFonts w:ascii="Georgia" w:hAnsi="Georgia"/>
      <w:b/>
      <w:sz w:val="26"/>
      <w:color w:val="D4AF37"/>
    </w:rPr>
    <w:t xml:space="preserve">3. Code Quality & Linter Verification</w:t>
  </w:r>
</w:p><w:p>
  <w:pPr></w:pPr>
  <w:r>
    <w:rPr>
      <w:rFonts w:ascii="Calibri" w:hAnsi="Calibri"/>
      
      <w:sz w:val="22"/>
      <w:color w:val="222222"/>
    </w:rPr>
    <w:t xml:space="preserve">The entire codebase passes Oxlint verification with 0 warnings and 0 errors across all 18 project files.</w:t>
  </w:r>
</w:p><w:p>
  <w:pPr></w:pPr>
  <w:r>
    <w:rPr>
      <w:rFonts w:ascii="Calibri" w:hAnsi="Calibri"/>
      
      <w:sz w:val="22"/>
      <w:color w:val="222222"/>
    </w:rPr>
    <w:t xml:space="preserve">Vite production build compiles cleanly in under 4 seconds with optimized tree-shaking and asset compression.</w:t>
  </w:r>
</w:p><w:p>
  <w:pPr></w:pPr>
  <w:r>
    <w:rPr>
      <w:rFonts w:ascii="Calibri" w:hAnsi="Calibri"/>
      
      <w:sz w:val="22"/>
      <w:color w:val="222222"/>
    </w:rPr>
    <w:t xml:space="preserve"></w:t>
  </w:r>
</w:p><w:p>
  <w:pPr></w:pPr>
  <w:r>
    <w:rPr>
      <w:rFonts w:ascii="Calibri" w:hAnsi="Calibri"/>
      
      <w:sz w:val="18"/>
      <w:color w:val="888888"/>
    </w:rPr>
    <w:t xml:space="preserve">Alberto Watch Company © 1987-2026. All rights reserved.</w:t>
  </w:r>
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222222"/>
      </w:rPr>
    </w:rPrDefault>
  </w:docDefaults>
  <w:style w:type="paragraph" w:styleId="Heading1">
    <w:name w:val="heading 1"/>
    <w:rPr>
      <w:rFonts w:ascii="Georgia" w:hAnsi="Georgia"/>
      <w:b/>
      <w:sz w:val="34"/>
      <w:color w:val="0B0D12"/>
    </w:rPr>
  </w:style>
  <w:style w:type="paragraph" w:styleId="Heading2">
    <w:name w:val="heading 2"/>
    <w:rPr>
      <w:rFonts w:ascii="Georgia" w:hAnsi="Georgia"/>
      <w:b/>
      <w:sz w:val="26"/>
      <w:color w:val="D4AF37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