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BabyShopHub</w:t>
      </w:r>
    </w:p>
    <w:p>
      <w:pPr>
        <w:pStyle w:val="Subtitle"/>
        <w:rPr/>
      </w:pPr>
      <w:r>
        <w:rPr/>
        <w:t>Developer Guide</w:t>
      </w:r>
    </w:p>
    <w:p>
      <w:pPr>
        <w:pStyle w:val="Author"/>
        <w:rPr/>
      </w:pPr>
      <w:r>
        <w:rPr/>
        <w:t>Aptech eProject Submission</w:t>
      </w:r>
    </w:p>
    <w:p>
      <w:pPr>
        <w:pStyle w:val="Date"/>
        <w:rPr/>
      </w:pPr>
      <w:r>
        <w:rPr/>
        <w:t>Version 1.0</w:t>
      </w:r>
    </w:p>
    <w:sdt>
      <w:sdtPr>
        <w:docPartObj>
          <w:docPartGallery w:val="Table of Contents"/>
          <w:docPartUnique w:val="true"/>
        </w:docPartObj>
      </w:sdtPr>
      <w:sdtContent>
        <w:p>
          <w:pPr>
            <w:pStyle w:val="TOCHeading"/>
            <w:rPr/>
          </w:pPr>
          <w:r>
            <w:rPr/>
            <w:t>Table of Contents</w:t>
          </w:r>
        </w:p>
        <w:p>
          <w:pPr>
            <w:pStyle w:val="TOC1"/>
            <w:tabs>
              <w:tab w:val="clear" w:pos="9360"/>
              <w:tab w:val="right" w:pos="9359" w:leader="dot"/>
            </w:tabs>
            <w:rPr/>
          </w:pPr>
          <w:r>
            <w:fldChar w:fldCharType="begin"/>
          </w:r>
          <w:r>
            <w:rPr>
              <w:rStyle w:val="IndexLink"/>
              <w:webHidden/>
            </w:rPr>
            <w:instrText xml:space="preserve"> TOC \z \o "1-2" \u \h</w:instrText>
          </w:r>
          <w:r>
            <w:rPr>
              <w:rStyle w:val="IndexLink"/>
              <w:webHidden/>
            </w:rPr>
            <w:fldChar w:fldCharType="separate"/>
          </w:r>
          <w:hyperlink w:anchor="__RefHeading___Toc986_126822293" w:tooltip="1. Who this guide is for">
            <w:r>
              <w:rPr>
                <w:rStyle w:val="IndexLink"/>
                <w:webHidden/>
              </w:rPr>
              <w:t>1. Who this guide is for</w:t>
              <w:tab/>
              <w:t>1</w:t>
            </w:r>
          </w:hyperlink>
        </w:p>
        <w:p>
          <w:pPr>
            <w:pStyle w:val="TOC1"/>
            <w:tabs>
              <w:tab w:val="clear" w:pos="9360"/>
              <w:tab w:val="right" w:pos="9359" w:leader="dot"/>
            </w:tabs>
            <w:rPr/>
          </w:pPr>
          <w:hyperlink w:anchor="__RefHeading___Toc988_126822293" w:tooltip="2. Building and running">
            <w:r>
              <w:rPr>
                <w:rStyle w:val="IndexLink"/>
                <w:webHidden/>
              </w:rPr>
              <w:t>2. Building and running</w:t>
              <w:tab/>
              <w:t>3</w:t>
            </w:r>
          </w:hyperlink>
        </w:p>
        <w:p>
          <w:pPr>
            <w:pStyle w:val="TOC1"/>
            <w:tabs>
              <w:tab w:val="clear" w:pos="9360"/>
              <w:tab w:val="right" w:pos="9359" w:leader="dot"/>
            </w:tabs>
            <w:rPr/>
          </w:pPr>
          <w:hyperlink w:anchor="__RefHeading___Toc990_126822293" w:tooltip="3. Project structure">
            <w:r>
              <w:rPr>
                <w:rStyle w:val="IndexLink"/>
                <w:webHidden/>
              </w:rPr>
              <w:t>3. Project structure</w:t>
              <w:tab/>
              <w:t>4</w:t>
            </w:r>
          </w:hyperlink>
        </w:p>
        <w:p>
          <w:pPr>
            <w:pStyle w:val="TOC2"/>
            <w:tabs>
              <w:tab w:val="clear" w:pos="9077"/>
              <w:tab w:val="right" w:pos="9359" w:leader="dot"/>
            </w:tabs>
            <w:rPr/>
          </w:pPr>
          <w:hyperlink w:anchor="__RefHeading___Toc992_126822293" w:tooltip="3.1 The barrels">
            <w:r>
              <w:rPr>
                <w:rStyle w:val="IndexLink"/>
                <w:webHidden/>
              </w:rPr>
              <w:t>3.1 The barrels</w:t>
              <w:tab/>
              <w:t>4</w:t>
            </w:r>
          </w:hyperlink>
        </w:p>
        <w:p>
          <w:pPr>
            <w:pStyle w:val="TOC1"/>
            <w:tabs>
              <w:tab w:val="clear" w:pos="9360"/>
              <w:tab w:val="right" w:pos="9359" w:leader="dot"/>
            </w:tabs>
            <w:rPr/>
          </w:pPr>
          <w:hyperlink w:anchor="__RefHeading___Toc994_126822293" w:tooltip="4. Layer responsibilities in code">
            <w:r>
              <w:rPr>
                <w:rStyle w:val="IndexLink"/>
                <w:webHidden/>
              </w:rPr>
              <w:t>4. Layer responsibilities in code</w:t>
              <w:tab/>
              <w:t>5</w:t>
            </w:r>
          </w:hyperlink>
        </w:p>
        <w:p>
          <w:pPr>
            <w:pStyle w:val="TOC1"/>
            <w:tabs>
              <w:tab w:val="clear" w:pos="9360"/>
              <w:tab w:val="right" w:pos="9359" w:leader="dot"/>
            </w:tabs>
            <w:rPr/>
          </w:pPr>
          <w:hyperlink w:anchor="__RefHeading___Toc996_126822293" w:tooltip="5. Conventions, and why they were chosen">
            <w:r>
              <w:rPr>
                <w:rStyle w:val="IndexLink"/>
                <w:webHidden/>
              </w:rPr>
              <w:t>5. Conventions, and why they were chosen</w:t>
              <w:tab/>
              <w:t>6</w:t>
            </w:r>
          </w:hyperlink>
        </w:p>
        <w:p>
          <w:pPr>
            <w:pStyle w:val="TOC2"/>
            <w:tabs>
              <w:tab w:val="clear" w:pos="9077"/>
              <w:tab w:val="right" w:pos="9359" w:leader="dot"/>
            </w:tabs>
            <w:rPr/>
          </w:pPr>
          <w:hyperlink w:anchor="__RefHeading___Toc998_126822293" w:tooltip="5.1 Result-or-message returns">
            <w:r>
              <w:rPr>
                <w:rStyle w:val="IndexLink"/>
                <w:webHidden/>
              </w:rPr>
              <w:t>5.1 Result-or-message returns</w:t>
              <w:tab/>
              <w:t>6</w:t>
            </w:r>
          </w:hyperlink>
        </w:p>
        <w:p>
          <w:pPr>
            <w:pStyle w:val="TOC2"/>
            <w:tabs>
              <w:tab w:val="clear" w:pos="9077"/>
              <w:tab w:val="right" w:pos="9359" w:leader="dot"/>
            </w:tabs>
            <w:rPr/>
          </w:pPr>
          <w:hyperlink w:anchor="__RefHeading___Toc1000_126822293" w:tooltip="5.2 Single sources of truth">
            <w:r>
              <w:rPr>
                <w:rStyle w:val="IndexLink"/>
                <w:webHidden/>
              </w:rPr>
              <w:t>5.2 Single sources of truth</w:t>
              <w:tab/>
              <w:t>6</w:t>
            </w:r>
          </w:hyperlink>
        </w:p>
        <w:p>
          <w:pPr>
            <w:pStyle w:val="TOC2"/>
            <w:tabs>
              <w:tab w:val="clear" w:pos="9077"/>
              <w:tab w:val="right" w:pos="9359" w:leader="dot"/>
            </w:tabs>
            <w:rPr/>
          </w:pPr>
          <w:hyperlink w:anchor="__RefHeading___Toc1002_126822293" w:tooltip="5.3 API-stability choices">
            <w:r>
              <w:rPr>
                <w:rStyle w:val="IndexLink"/>
                <w:webHidden/>
              </w:rPr>
              <w:t>5.3 API-stability choices</w:t>
              <w:tab/>
              <w:t>6</w:t>
            </w:r>
          </w:hyperlink>
        </w:p>
        <w:p>
          <w:pPr>
            <w:pStyle w:val="TOC1"/>
            <w:tabs>
              <w:tab w:val="clear" w:pos="9360"/>
              <w:tab w:val="right" w:pos="9359" w:leader="dot"/>
            </w:tabs>
            <w:rPr/>
          </w:pPr>
          <w:hyperlink w:anchor="__RefHeading___Toc1004_126822293" w:tooltip="6. Data and demo accounts">
            <w:r>
              <w:rPr>
                <w:rStyle w:val="IndexLink"/>
                <w:webHidden/>
              </w:rPr>
              <w:t>6. Data and demo accounts</w:t>
              <w:tab/>
              <w:t>7</w:t>
            </w:r>
          </w:hyperlink>
        </w:p>
        <w:p>
          <w:pPr>
            <w:pStyle w:val="TOC1"/>
            <w:tabs>
              <w:tab w:val="clear" w:pos="9360"/>
              <w:tab w:val="right" w:pos="9359" w:leader="dot"/>
            </w:tabs>
            <w:rPr/>
          </w:pPr>
          <w:hyperlink w:anchor="__RefHeading___Toc1006_126822293" w:tooltip="7. How to make common changes">
            <w:r>
              <w:rPr>
                <w:rStyle w:val="IndexLink"/>
                <w:webHidden/>
              </w:rPr>
              <w:t>7. How to make common changes</w:t>
              <w:tab/>
              <w:t>8</w:t>
            </w:r>
          </w:hyperlink>
        </w:p>
        <w:p>
          <w:pPr>
            <w:pStyle w:val="TOC2"/>
            <w:tabs>
              <w:tab w:val="clear" w:pos="9077"/>
              <w:tab w:val="right" w:pos="9359" w:leader="dot"/>
            </w:tabs>
            <w:rPr/>
          </w:pPr>
          <w:hyperlink w:anchor="__RefHeading___Toc1008_126822293" w:tooltip="7.1 Add a product (in code / seed)">
            <w:r>
              <w:rPr>
                <w:rStyle w:val="IndexLink"/>
                <w:webHidden/>
              </w:rPr>
              <w:t>7.1 Add a product (in code / seed)</w:t>
              <w:tab/>
              <w:t>8</w:t>
            </w:r>
          </w:hyperlink>
        </w:p>
        <w:p>
          <w:pPr>
            <w:pStyle w:val="TOC2"/>
            <w:tabs>
              <w:tab w:val="clear" w:pos="9077"/>
              <w:tab w:val="right" w:pos="9359" w:leader="dot"/>
            </w:tabs>
            <w:rPr/>
          </w:pPr>
          <w:hyperlink w:anchor="__RefHeading___Toc1010_126822293" w:tooltip="7.2 Add a screen">
            <w:r>
              <w:rPr>
                <w:rStyle w:val="IndexLink"/>
                <w:webHidden/>
              </w:rPr>
              <w:t>7.2 Add a screen</w:t>
              <w:tab/>
              <w:t>8</w:t>
            </w:r>
          </w:hyperlink>
        </w:p>
        <w:p>
          <w:pPr>
            <w:pStyle w:val="TOC2"/>
            <w:tabs>
              <w:tab w:val="clear" w:pos="9077"/>
              <w:tab w:val="right" w:pos="9359" w:leader="dot"/>
            </w:tabs>
            <w:rPr/>
          </w:pPr>
          <w:hyperlink w:anchor="__RefHeading___Toc1012_126822293" w:tooltip="7.3 Add a repository method">
            <w:r>
              <w:rPr>
                <w:rStyle w:val="IndexLink"/>
                <w:webHidden/>
              </w:rPr>
              <w:t>7.3 Add a repository method</w:t>
              <w:tab/>
              <w:t>8</w:t>
            </w:r>
          </w:hyperlink>
        </w:p>
        <w:p>
          <w:pPr>
            <w:pStyle w:val="TOC2"/>
            <w:tabs>
              <w:tab w:val="clear" w:pos="9077"/>
              <w:tab w:val="right" w:pos="9359" w:leader="dot"/>
            </w:tabs>
            <w:rPr/>
          </w:pPr>
          <w:hyperlink w:anchor="__RefHeading___Toc1014_126822293" w:tooltip="7.4 Change money or tax rules">
            <w:r>
              <w:rPr>
                <w:rStyle w:val="IndexLink"/>
                <w:webHidden/>
              </w:rPr>
              <w:t>7.4 Change money or tax rules</w:t>
              <w:tab/>
              <w:t>8</w:t>
            </w:r>
          </w:hyperlink>
        </w:p>
        <w:p>
          <w:pPr>
            <w:pStyle w:val="TOC1"/>
            <w:tabs>
              <w:tab w:val="clear" w:pos="9360"/>
              <w:tab w:val="right" w:pos="9359" w:leader="dot"/>
            </w:tabs>
            <w:rPr/>
          </w:pPr>
          <w:hyperlink w:anchor="__RefHeading___Toc1016_126822293" w:tooltip="8. Verifying the code">
            <w:r>
              <w:rPr>
                <w:rStyle w:val="IndexLink"/>
                <w:webHidden/>
              </w:rPr>
              <w:t>8. Verifying the code</w:t>
              <w:tab/>
              <w:t>9</w:t>
            </w:r>
          </w:hyperlink>
        </w:p>
        <w:p>
          <w:pPr>
            <w:pStyle w:val="TOC1"/>
            <w:tabs>
              <w:tab w:val="clear" w:pos="9360"/>
              <w:tab w:val="right" w:pos="9359" w:leader="dot"/>
            </w:tabs>
            <w:rPr/>
          </w:pPr>
          <w:hyperlink w:anchor="__RefHeading___Toc1018_126822293" w:tooltip="9. Known limitations">
            <w:r>
              <w:rPr>
                <w:rStyle w:val="IndexLink"/>
                <w:webHidden/>
              </w:rPr>
              <w:t>9. Known limitations</w:t>
              <w:tab/>
              <w:t>10</w:t>
            </w:r>
          </w:hyperlink>
          <w:r>
            <w:rPr>
              <w:rStyle w:val="IndexLink"/>
            </w:rPr>
            <w:fldChar w:fldCharType="end"/>
          </w:r>
        </w:p>
      </w:sdtContent>
    </w:sdt>
    <w:p>
      <w:pPr>
        <w:pStyle w:val="Heading1"/>
        <w:rPr/>
      </w:pPr>
      <w:bookmarkStart w:id="0" w:name="__RefHeading___Toc986_126822293"/>
      <w:bookmarkStart w:id="1" w:name="who-this-guide-is-for"/>
      <w:bookmarkEnd w:id="0"/>
      <w:r>
        <w:rPr/>
        <w:t>1. Who this guide is for</w:t>
      </w:r>
      <w:bookmarkEnd w:id="1"/>
    </w:p>
    <w:p>
      <w:pPr>
        <w:pStyle w:val="FirstParagraph"/>
        <w:rPr/>
      </w:pPr>
      <w:r>
        <w:rPr/>
        <w:t>This guide orients a developer in the BabyShopHub codebase: how it is laid out, how to build and run it, the conventions it follows and why, and how to make the common kinds of change. It assumes you have read the System Design document for the architectural picture; this guide is the practical, code-level companion.</w:t>
      </w:r>
    </w:p>
    <w:p>
      <w:pPr>
        <w:pStyle w:val="BodyText"/>
        <w:rPr/>
      </w:pPr>
      <w:r>
        <w:rPr/>
        <w:t xml:space="preserve">The project is </w:t>
      </w:r>
      <w:r>
        <w:rPr>
          <w:b/>
        </w:rPr>
        <w:t>72 Dart files, about 16,300 lines</w:t>
      </w:r>
      <w:r>
        <w:rPr/>
        <w:t xml:space="preserve">, all under </w:t>
      </w:r>
      <w:r>
        <w:rPr>
          <w:rStyle w:val="VerbatimChar"/>
        </w:rPr>
        <w:t>lib/</w:t>
      </w:r>
      <w:r>
        <w:rPr/>
        <w:t xml:space="preserve">, plus a </w:t>
      </w:r>
      <w:r>
        <w:rPr>
          <w:rStyle w:val="VerbatimChar"/>
        </w:rPr>
        <w:t>tool/</w:t>
      </w:r>
      <w:r>
        <w:rPr/>
        <w:t xml:space="preserve"> folder of helper scripts and an </w:t>
      </w:r>
      <w:r>
        <w:rPr>
          <w:rStyle w:val="VerbatimChar"/>
        </w:rPr>
        <w:t>assets/</w:t>
      </w:r>
      <w:r>
        <w:rPr/>
        <w:t xml:space="preserve"> folder of images.</w:t>
      </w:r>
    </w:p>
    <w:p>
      <w:pPr>
        <w:pStyle w:val="Normal"/>
        <w:rPr/>
      </w:pPr>
      <w:r>
        <w:rPr/>
      </w:r>
      <w:r>
        <w:br w:type="page"/>
      </w:r>
    </w:p>
    <w:p>
      <w:pPr>
        <w:pStyle w:val="Heading1"/>
        <w:spacing w:before="0" w:after="0"/>
        <w:rPr/>
      </w:pPr>
      <w:bookmarkStart w:id="2" w:name="__RefHeading___Toc988_126822293"/>
      <w:bookmarkStart w:id="3" w:name="building-and-running"/>
      <w:bookmarkEnd w:id="2"/>
      <w:r>
        <w:rPr/>
        <w:t>2. Building and running</w:t>
      </w:r>
      <w:bookmarkEnd w:id="3"/>
    </w:p>
    <w:p>
      <w:pPr>
        <w:pStyle w:val="FirstParagraph"/>
        <w:rPr/>
      </w:pPr>
      <w:r>
        <w:rPr/>
        <w:t xml:space="preserve">Full, from-nothing Windows instructions are in the </w:t>
      </w:r>
      <w:r>
        <w:rPr>
          <w:i/>
        </w:rPr>
        <w:t>Windows Setup Guide</w:t>
      </w:r>
      <w:r>
        <w:rPr/>
        <w:t>. In short, from the project root:</w:t>
      </w:r>
    </w:p>
    <w:p>
      <w:pPr>
        <w:pStyle w:val="SourceCode"/>
        <w:rPr/>
      </w:pPr>
      <w:r>
        <w:rPr>
          <w:rStyle w:val="VerbatimChar"/>
        </w:rPr>
        <w:t>flutter create .      # regenerate platform folders (first time only)</w:t>
      </w:r>
      <w:r>
        <w:rPr/>
        <w:br/>
      </w:r>
      <w:r>
        <w:rPr>
          <w:rStyle w:val="VerbatimChar"/>
        </w:rPr>
        <w:t>flutter pub get        # fetch dependencies</w:t>
      </w:r>
      <w:r>
        <w:rPr/>
        <w:br/>
      </w:r>
      <w:r>
        <w:rPr>
          <w:rStyle w:val="VerbatimChar"/>
        </w:rPr>
        <w:t>flutter run -d windows # run as a desktop window (easiest to demo)</w:t>
      </w:r>
    </w:p>
    <w:p>
      <w:pPr>
        <w:pStyle w:val="FirstParagraph"/>
        <w:rPr/>
      </w:pPr>
      <w:r>
        <w:rPr/>
        <w:t xml:space="preserve">The project ships as source only — the </w:t>
      </w:r>
      <w:r>
        <w:rPr>
          <w:rStyle w:val="VerbatimChar"/>
        </w:rPr>
        <w:t>android/</w:t>
      </w:r>
      <w:r>
        <w:rPr/>
        <w:t xml:space="preserve">, </w:t>
      </w:r>
      <w:r>
        <w:rPr>
          <w:rStyle w:val="VerbatimChar"/>
        </w:rPr>
        <w:t>windows/</w:t>
      </w:r>
      <w:r>
        <w:rPr/>
        <w:t xml:space="preserve">, and other platform folders are generated on your machine by </w:t>
      </w:r>
      <w:r>
        <w:rPr>
          <w:rStyle w:val="VerbatimChar"/>
        </w:rPr>
        <w:t>flutter create .</w:t>
      </w:r>
      <w:r>
        <w:rPr/>
        <w:t xml:space="preserve"> so they match your Flutter version. That command does not touch </w:t>
      </w:r>
      <w:r>
        <w:rPr>
          <w:rStyle w:val="VerbatimChar"/>
        </w:rPr>
        <w:t>lib/</w:t>
      </w:r>
      <w:r>
        <w:rPr/>
        <w:t xml:space="preserve">, </w:t>
      </w:r>
      <w:r>
        <w:rPr>
          <w:rStyle w:val="VerbatimChar"/>
        </w:rPr>
        <w:t>pubspec.yaml</w:t>
      </w:r>
      <w:r>
        <w:rPr/>
        <w:t xml:space="preserve">, or </w:t>
      </w:r>
      <w:r>
        <w:rPr>
          <w:rStyle w:val="VerbatimChar"/>
        </w:rPr>
        <w:t>assets/</w:t>
      </w:r>
      <w:r>
        <w:rPr/>
        <w:t>.</w:t>
      </w:r>
    </w:p>
    <w:p>
      <w:pPr>
        <w:pStyle w:val="BodyText"/>
        <w:rPr/>
      </w:pPr>
      <w:r>
        <w:rPr/>
        <w:t>To check the code without running it:</w:t>
      </w:r>
    </w:p>
    <w:p>
      <w:pPr>
        <w:pStyle w:val="SourceCode"/>
        <w:rPr/>
      </w:pPr>
      <w:r>
        <w:rPr>
          <w:rStyle w:val="VerbatimChar"/>
        </w:rPr>
        <w:t>flutter analyze        # static analysis; should report no issues</w:t>
      </w:r>
    </w:p>
    <w:p>
      <w:pPr>
        <w:pStyle w:val="Normal"/>
        <w:rPr/>
      </w:pPr>
      <w:r>
        <w:rPr/>
      </w:r>
      <w:r>
        <w:br w:type="page"/>
      </w:r>
    </w:p>
    <w:p>
      <w:pPr>
        <w:pStyle w:val="Heading1"/>
        <w:spacing w:before="0" w:after="0"/>
        <w:rPr/>
      </w:pPr>
      <w:bookmarkStart w:id="4" w:name="__RefHeading___Toc990_126822293"/>
      <w:bookmarkStart w:id="5" w:name="project-structure"/>
      <w:bookmarkEnd w:id="4"/>
      <w:r>
        <w:rPr/>
        <w:t>3. Project structure</w:t>
      </w:r>
      <w:bookmarkEnd w:id="5"/>
    </w:p>
    <w:p>
      <w:pPr>
        <w:pStyle w:val="FirstParagraph"/>
        <w:rPr/>
      </w:pPr>
      <w:r>
        <w:rPr/>
        <w:t xml:space="preserve">Everything is under </w:t>
      </w:r>
      <w:r>
        <w:rPr>
          <w:rStyle w:val="VerbatimChar"/>
        </w:rPr>
        <w:t>lib/</w:t>
      </w:r>
      <w:r>
        <w:rPr/>
        <w:t>, grouped by responsibility:</w:t>
      </w:r>
    </w:p>
    <w:tbl>
      <w:tblPr>
        <w:tblStyle w:val="Table"/>
        <w:tblW w:w="5000" w:type="pct"/>
        <w:jc w:val="left"/>
        <w:tblInd w:w="0" w:type="dxa"/>
        <w:tblLayout w:type="fixed"/>
        <w:tblCellMar>
          <w:top w:w="0" w:type="dxa"/>
          <w:left w:w="108" w:type="dxa"/>
          <w:bottom w:w="0" w:type="dxa"/>
          <w:right w:w="108" w:type="dxa"/>
        </w:tblCellMar>
        <w:tblLook w:firstRow="1" w:val="07e0"/>
      </w:tblPr>
      <w:tblGrid>
        <w:gridCol w:w="4159"/>
        <w:gridCol w:w="5201"/>
      </w:tblGrid>
      <w:tr>
        <w:trPr>
          <w:cnfStyle w:firstRow="1"/>
        </w:trPr>
        <w:tc>
          <w:tcPr>
            <w:tcW w:w="415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Folder</w:t>
            </w:r>
          </w:p>
        </w:tc>
        <w:tc>
          <w:tcPr>
            <w:tcW w:w="520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Contents</w:t>
            </w:r>
          </w:p>
        </w:tc>
      </w:tr>
      <w:tr>
        <w:trPr/>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lib/core/</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Cross-cutting constants and helpers: </w:t>
            </w:r>
            <w:r>
              <w:rPr>
                <w:rStyle w:val="VerbatimChar"/>
                <w:rFonts w:eastAsia="Cambria" w:cs=""/>
                <w:kern w:val="0"/>
                <w:szCs w:val="24"/>
                <w:lang w:val="en-US" w:eastAsia="en-US" w:bidi="ar-SA"/>
              </w:rPr>
              <w:t>app_config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theme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pricing</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validators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statuses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formats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db_utils</w:t>
            </w:r>
            <w:r>
              <w:rPr>
                <w:rFonts w:eastAsia="Cambria" w:cs=""/>
                <w:kern w:val="0"/>
                <w:sz w:val="24"/>
                <w:szCs w:val="24"/>
                <w:lang w:val="en-US" w:eastAsia="en-US" w:bidi="ar-SA"/>
              </w:rPr>
              <w:t>.</w:t>
            </w:r>
          </w:p>
        </w:tc>
      </w:tr>
      <w:tr>
        <w:trPr/>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lib/models/</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Plain data classes (11): </w:t>
            </w:r>
            <w:r>
              <w:rPr>
                <w:rStyle w:val="VerbatimChar"/>
                <w:rFonts w:eastAsia="Cambria" w:cs=""/>
                <w:kern w:val="0"/>
                <w:szCs w:val="24"/>
                <w:lang w:val="en-US" w:eastAsia="en-US" w:bidi="ar-SA"/>
              </w:rPr>
              <w:t>AppUser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Product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ProductCategory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Seller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CartItem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Order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Address</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PaymentMethod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Review</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SupportTicket</w:t>
            </w:r>
            <w:r>
              <w:rPr>
                <w:rFonts w:eastAsia="Cambria" w:cs=""/>
                <w:kern w:val="0"/>
                <w:sz w:val="24"/>
                <w:szCs w:val="24"/>
                <w:lang w:val="en-US" w:eastAsia="en-US" w:bidi="ar-SA"/>
              </w:rPr>
              <w:t xml:space="preserve">, plus the </w:t>
            </w:r>
            <w:r>
              <w:rPr>
                <w:rStyle w:val="VerbatimChar"/>
                <w:rFonts w:eastAsia="Cambria" w:cs=""/>
                <w:kern w:val="0"/>
                <w:szCs w:val="24"/>
                <w:lang w:val="en-US" w:eastAsia="en-US" w:bidi="ar-SA"/>
              </w:rPr>
              <w:t>models.dart</w:t>
            </w:r>
            <w:r>
              <w:rPr>
                <w:rFonts w:eastAsia="Cambria" w:cs=""/>
                <w:kern w:val="0"/>
                <w:sz w:val="24"/>
                <w:szCs w:val="24"/>
                <w:lang w:val="en-US" w:eastAsia="en-US" w:bidi="ar-SA"/>
              </w:rPr>
              <w:t xml:space="preserve"> barrel.</w:t>
            </w:r>
          </w:p>
        </w:tc>
      </w:tr>
      <w:tr>
        <w:trPr/>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lib/data/</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database (</w:t>
            </w:r>
            <w:r>
              <w:rPr>
                <w:rStyle w:val="VerbatimChar"/>
                <w:rFonts w:eastAsia="Cambria" w:cs=""/>
                <w:kern w:val="0"/>
                <w:szCs w:val="24"/>
                <w:lang w:val="en-US" w:eastAsia="en-US" w:bidi="ar-SA"/>
              </w:rPr>
              <w:t>database_helper</w:t>
            </w:r>
            <w:r>
              <w:rPr>
                <w:rFonts w:eastAsia="Cambria" w:cs=""/>
                <w:kern w:val="0"/>
                <w:sz w:val="24"/>
                <w:szCs w:val="24"/>
                <w:lang w:val="en-US" w:eastAsia="en-US" w:bidi="ar-SA"/>
              </w:rPr>
              <w:t xml:space="preserve">), the seed data, </w:t>
            </w:r>
            <w:r>
              <w:rPr>
                <w:rStyle w:val="VerbatimChar"/>
                <w:rFonts w:eastAsia="Cambria" w:cs=""/>
                <w:kern w:val="0"/>
                <w:szCs w:val="24"/>
                <w:lang w:val="en-US" w:eastAsia="en-US" w:bidi="ar-SA"/>
              </w:rPr>
              <w:t>password_service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faq_data</w:t>
            </w:r>
            <w:r>
              <w:rPr>
                <w:rFonts w:eastAsia="Cambria" w:cs=""/>
                <w:kern w:val="0"/>
                <w:sz w:val="24"/>
                <w:szCs w:val="24"/>
                <w:lang w:val="en-US" w:eastAsia="en-US" w:bidi="ar-SA"/>
              </w:rPr>
              <w:t>, and seven repositories.</w:t>
            </w:r>
          </w:p>
        </w:tc>
      </w:tr>
      <w:tr>
        <w:trPr/>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lib/providers/</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SessionProvider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CartProvider</w:t>
            </w:r>
            <w:r>
              <w:rPr>
                <w:rFonts w:eastAsia="Cambria" w:cs=""/>
                <w:kern w:val="0"/>
                <w:sz w:val="24"/>
                <w:szCs w:val="24"/>
                <w:lang w:val="en-US" w:eastAsia="en-US" w:bidi="ar-SA"/>
              </w:rPr>
              <w:t xml:space="preserve">, and the </w:t>
            </w:r>
            <w:r>
              <w:rPr>
                <w:rStyle w:val="VerbatimChar"/>
                <w:rFonts w:eastAsia="Cambria" w:cs=""/>
                <w:kern w:val="0"/>
                <w:szCs w:val="24"/>
                <w:lang w:val="en-US" w:eastAsia="en-US" w:bidi="ar-SA"/>
              </w:rPr>
              <w:t>providers.dart</w:t>
            </w:r>
            <w:r>
              <w:rPr>
                <w:rFonts w:eastAsia="Cambria" w:cs=""/>
                <w:kern w:val="0"/>
                <w:sz w:val="24"/>
                <w:szCs w:val="24"/>
                <w:lang w:val="en-US" w:eastAsia="en-US" w:bidi="ar-SA"/>
              </w:rPr>
              <w:t xml:space="preserve"> barrel.</w:t>
            </w:r>
          </w:p>
        </w:tc>
      </w:tr>
      <w:tr>
        <w:trPr/>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lib/screens/</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35 screens: </w:t>
            </w:r>
            <w:r>
              <w:rPr>
                <w:rStyle w:val="VerbatimChar"/>
                <w:rFonts w:eastAsia="Cambria" w:cs=""/>
                <w:kern w:val="0"/>
                <w:szCs w:val="24"/>
                <w:lang w:val="en-US" w:eastAsia="en-US" w:bidi="ar-SA"/>
              </w:rPr>
              <w:t>auth/</w:t>
            </w:r>
            <w:r>
              <w:rPr>
                <w:rFonts w:eastAsia="Cambria" w:cs=""/>
                <w:kern w:val="0"/>
                <w:sz w:val="24"/>
                <w:szCs w:val="24"/>
                <w:lang w:val="en-US" w:eastAsia="en-US" w:bidi="ar-SA"/>
              </w:rPr>
              <w:t xml:space="preserve"> (2), </w:t>
            </w:r>
            <w:r>
              <w:rPr>
                <w:rStyle w:val="VerbatimChar"/>
                <w:rFonts w:eastAsia="Cambria" w:cs=""/>
                <w:kern w:val="0"/>
                <w:szCs w:val="24"/>
                <w:lang w:val="en-US" w:eastAsia="en-US" w:bidi="ar-SA"/>
              </w:rPr>
              <w:t>customer/</w:t>
            </w:r>
            <w:r>
              <w:rPr>
                <w:rFonts w:eastAsia="Cambria" w:cs=""/>
                <w:kern w:val="0"/>
                <w:sz w:val="24"/>
                <w:szCs w:val="24"/>
                <w:lang w:val="en-US" w:eastAsia="en-US" w:bidi="ar-SA"/>
              </w:rPr>
              <w:t xml:space="preserve"> (21 incl. the shell), </w:t>
            </w:r>
            <w:r>
              <w:rPr>
                <w:rStyle w:val="VerbatimChar"/>
                <w:rFonts w:eastAsia="Cambria" w:cs=""/>
                <w:kern w:val="0"/>
                <w:szCs w:val="24"/>
                <w:lang w:val="en-US" w:eastAsia="en-US" w:bidi="ar-SA"/>
              </w:rPr>
              <w:t>admin/</w:t>
            </w:r>
            <w:r>
              <w:rPr>
                <w:rFonts w:eastAsia="Cambria" w:cs=""/>
                <w:kern w:val="0"/>
                <w:sz w:val="24"/>
                <w:szCs w:val="24"/>
                <w:lang w:val="en-US" w:eastAsia="en-US" w:bidi="ar-SA"/>
              </w:rPr>
              <w:t xml:space="preserve"> (11), and the top-level </w:t>
            </w:r>
            <w:r>
              <w:rPr>
                <w:rStyle w:val="VerbatimChar"/>
                <w:rFonts w:eastAsia="Cambria" w:cs=""/>
                <w:kern w:val="0"/>
                <w:szCs w:val="24"/>
                <w:lang w:val="en-US" w:eastAsia="en-US" w:bidi="ar-SA"/>
              </w:rPr>
              <w:t>splash_screen</w:t>
            </w:r>
            <w:r>
              <w:rPr>
                <w:rFonts w:eastAsia="Cambria" w:cs=""/>
                <w:kern w:val="0"/>
                <w:sz w:val="24"/>
                <w:szCs w:val="24"/>
                <w:lang w:val="en-US" w:eastAsia="en-US" w:bidi="ar-SA"/>
              </w:rPr>
              <w:t>.</w:t>
            </w:r>
          </w:p>
        </w:tc>
      </w:tr>
      <w:tr>
        <w:trPr/>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lib/widgets/</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Reusable UI (</w:t>
            </w:r>
            <w:r>
              <w:rPr>
                <w:rStyle w:val="VerbatimChar"/>
                <w:rFonts w:eastAsia="Cambria" w:cs=""/>
                <w:kern w:val="0"/>
                <w:szCs w:val="24"/>
                <w:lang w:val="en-US" w:eastAsia="en-US" w:bidi="ar-SA"/>
              </w:rPr>
              <w:t>common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product_card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star_rating</w:t>
            </w:r>
            <w:r>
              <w:rPr>
                <w:rFonts w:eastAsia="Cambria" w:cs=""/>
                <w:kern w:val="0"/>
                <w:sz w:val="24"/>
                <w:szCs w:val="24"/>
                <w:lang w:val="en-US" w:eastAsia="en-US" w:bidi="ar-SA"/>
              </w:rPr>
              <w:t xml:space="preserve">) and the </w:t>
            </w:r>
            <w:r>
              <w:rPr>
                <w:rStyle w:val="VerbatimChar"/>
                <w:rFonts w:eastAsia="Cambria" w:cs=""/>
                <w:kern w:val="0"/>
                <w:szCs w:val="24"/>
                <w:lang w:val="en-US" w:eastAsia="en-US" w:bidi="ar-SA"/>
              </w:rPr>
              <w:t>widgets.dart</w:t>
            </w:r>
            <w:r>
              <w:rPr>
                <w:rFonts w:eastAsia="Cambria" w:cs=""/>
                <w:kern w:val="0"/>
                <w:sz w:val="24"/>
                <w:szCs w:val="24"/>
                <w:lang w:val="en-US" w:eastAsia="en-US" w:bidi="ar-SA"/>
              </w:rPr>
              <w:t xml:space="preserve"> barrel.</w:t>
            </w:r>
          </w:p>
        </w:tc>
      </w:tr>
      <w:tr>
        <w:trPr/>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lib/main.dart</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App entry, provider wiring, and the root routing gate.</w:t>
            </w:r>
          </w:p>
        </w:tc>
      </w:tr>
      <w:tr>
        <w:trPr/>
        <w:tc>
          <w:tcPr>
            <w:tcW w:w="41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tool/</w:t>
            </w:r>
          </w:p>
        </w:tc>
        <w:tc>
          <w:tcPr>
            <w:tcW w:w="52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Developer helper scripts, run manually and not part of the shipped app: </w:t>
            </w:r>
            <w:r>
              <w:rPr>
                <w:rStyle w:val="VerbatimChar"/>
                <w:rFonts w:eastAsia="Cambria" w:cs=""/>
                <w:kern w:val="0"/>
                <w:szCs w:val="24"/>
                <w:lang w:val="en-US" w:eastAsia="en-US" w:bidi="ar-SA"/>
              </w:rPr>
              <w:t>generate_images.py</w:t>
            </w:r>
            <w:r>
              <w:rPr>
                <w:rFonts w:eastAsia="Cambria" w:cs=""/>
                <w:kern w:val="0"/>
                <w:sz w:val="24"/>
                <w:szCs w:val="24"/>
                <w:lang w:val="en-US" w:eastAsia="en-US" w:bidi="ar-SA"/>
              </w:rPr>
              <w:t xml:space="preserve"> (regenerates the placeholder product images) and </w:t>
            </w:r>
            <w:r>
              <w:rPr>
                <w:rStyle w:val="VerbatimChar"/>
                <w:rFonts w:eastAsia="Cambria" w:cs=""/>
                <w:kern w:val="0"/>
                <w:szCs w:val="24"/>
                <w:lang w:val="en-US" w:eastAsia="en-US" w:bidi="ar-SA"/>
              </w:rPr>
              <w:t>check_project.py</w:t>
            </w:r>
            <w:r>
              <w:rPr>
                <w:rFonts w:eastAsia="Cambria" w:cs=""/>
                <w:kern w:val="0"/>
                <w:sz w:val="24"/>
                <w:szCs w:val="24"/>
                <w:lang w:val="en-US" w:eastAsia="en-US" w:bidi="ar-SA"/>
              </w:rPr>
              <w:t xml:space="preserve"> (a quick structural sanity check).</w:t>
            </w:r>
          </w:p>
        </w:tc>
      </w:tr>
    </w:tbl>
    <w:p>
      <w:pPr>
        <w:pStyle w:val="Heading2"/>
        <w:rPr/>
      </w:pPr>
      <w:bookmarkStart w:id="6" w:name="__RefHeading___Toc992_126822293"/>
      <w:bookmarkStart w:id="7" w:name="the-barrels"/>
      <w:bookmarkEnd w:id="6"/>
      <w:r>
        <w:rPr/>
        <w:t>3.1 The barrels</w:t>
      </w:r>
      <w:bookmarkEnd w:id="7"/>
    </w:p>
    <w:p>
      <w:pPr>
        <w:pStyle w:val="FirstParagraph"/>
        <w:rPr/>
      </w:pPr>
      <w:r>
        <w:rPr>
          <w:rStyle w:val="VerbatimChar"/>
        </w:rPr>
        <w:t>models.dart</w:t>
      </w:r>
      <w:r>
        <w:rPr/>
        <w:t xml:space="preserve">, </w:t>
      </w:r>
      <w:r>
        <w:rPr>
          <w:rStyle w:val="VerbatimChar"/>
        </w:rPr>
        <w:t>providers.dart</w:t>
      </w:r>
      <w:r>
        <w:rPr/>
        <w:t xml:space="preserve">, and </w:t>
      </w:r>
      <w:r>
        <w:rPr>
          <w:rStyle w:val="VerbatimChar"/>
        </w:rPr>
        <w:t>widgets.dart</w:t>
      </w:r>
      <w:r>
        <w:rPr/>
        <w:t xml:space="preserve"> are </w:t>
      </w:r>
      <w:r>
        <w:rPr>
          <w:b/>
        </w:rPr>
        <w:t>barrel</w:t>
      </w:r>
      <w:r>
        <w:rPr/>
        <w:t xml:space="preserve"> files that re-export their folder’s public classes so a screen can write one import instead of many. Note that the barrels do </w:t>
      </w:r>
      <w:r>
        <w:rPr>
          <w:b/>
        </w:rPr>
        <w:t>not</w:t>
      </w:r>
      <w:r>
        <w:rPr/>
        <w:t xml:space="preserve"> re-export each other: a screen that uses </w:t>
      </w:r>
      <w:r>
        <w:rPr>
          <w:rStyle w:val="VerbatimChar"/>
        </w:rPr>
        <w:t>AppUser</w:t>
      </w:r>
      <w:r>
        <w:rPr/>
        <w:t xml:space="preserve"> (a model) must import </w:t>
      </w:r>
      <w:r>
        <w:rPr>
          <w:rStyle w:val="VerbatimChar"/>
        </w:rPr>
        <w:t>models.dart</w:t>
      </w:r>
      <w:r>
        <w:rPr/>
        <w:t xml:space="preserve"> explicitly even if it already imports </w:t>
      </w:r>
      <w:r>
        <w:rPr>
          <w:rStyle w:val="VerbatimChar"/>
        </w:rPr>
        <w:t>providers.dart</w:t>
      </w:r>
      <w:r>
        <w:rPr/>
        <w:t>. This is deliberate — it keeps the dependency between layers visible rather than hidden behind a chain of re-exports.</w:t>
      </w:r>
    </w:p>
    <w:p>
      <w:pPr>
        <w:pStyle w:val="Normal"/>
        <w:rPr/>
      </w:pPr>
      <w:r>
        <w:rPr/>
      </w:r>
      <w:r>
        <w:br w:type="page"/>
      </w:r>
    </w:p>
    <w:p>
      <w:pPr>
        <w:pStyle w:val="Heading1"/>
        <w:spacing w:before="0" w:after="0"/>
        <w:rPr/>
      </w:pPr>
      <w:bookmarkStart w:id="8" w:name="__RefHeading___Toc994_126822293"/>
      <w:bookmarkStart w:id="9" w:name="layer-responsibilities-in-code"/>
      <w:bookmarkEnd w:id="8"/>
      <w:r>
        <w:rPr/>
        <w:t>4. Layer responsibilities in code</w:t>
      </w:r>
      <w:bookmarkEnd w:id="9"/>
    </w:p>
    <w:p>
      <w:pPr>
        <w:pStyle w:val="FirstParagraph"/>
        <w:rPr/>
      </w:pPr>
      <w:r>
        <w:rPr/>
        <w:t>The layers described in the System Design document map directly to folders:</w:t>
      </w:r>
    </w:p>
    <w:p>
      <w:pPr>
        <w:pStyle w:val="BodyText"/>
        <w:rPr/>
      </w:pPr>
      <w:r>
        <w:rPr>
          <w:b/>
        </w:rPr>
        <w:t>Screens</w:t>
      </w:r>
      <w:r>
        <w:rPr/>
        <w:t xml:space="preserve"> (</w:t>
      </w:r>
      <w:r>
        <w:rPr>
          <w:rStyle w:val="VerbatimChar"/>
        </w:rPr>
        <w:t>lib/screens</w:t>
      </w:r>
      <w:r>
        <w:rPr/>
        <w:t xml:space="preserve">) build the UI and call repositories or watch providers. They never open the database. A typical screen loads its data in a </w:t>
      </w:r>
      <w:r>
        <w:rPr>
          <w:rStyle w:val="VerbatimChar"/>
        </w:rPr>
        <w:t>Future</w:t>
      </w:r>
      <w:r>
        <w:rPr/>
        <w:t xml:space="preserve"> and renders it through the shared </w:t>
      </w:r>
      <w:r>
        <w:rPr>
          <w:rStyle w:val="VerbatimChar"/>
        </w:rPr>
        <w:t>AsyncView</w:t>
      </w:r>
      <w:r>
        <w:rPr/>
        <w:t xml:space="preserve"> widget, which handles the loading and error states in one place.</w:t>
      </w:r>
    </w:p>
    <w:p>
      <w:pPr>
        <w:pStyle w:val="BodyText"/>
        <w:rPr/>
      </w:pPr>
      <w:r>
        <w:rPr>
          <w:b/>
        </w:rPr>
        <w:t>Providers</w:t>
      </w:r>
      <w:r>
        <w:rPr/>
        <w:t xml:space="preserve"> (</w:t>
      </w:r>
      <w:r>
        <w:rPr>
          <w:rStyle w:val="VerbatimChar"/>
        </w:rPr>
        <w:t>lib/providers</w:t>
      </w:r>
      <w:r>
        <w:rPr/>
        <w:t xml:space="preserve">) are </w:t>
      </w:r>
      <w:r>
        <w:rPr>
          <w:rStyle w:val="VerbatimChar"/>
        </w:rPr>
        <w:t>ChangeNotifier</w:t>
      </w:r>
      <w:r>
        <w:rPr/>
        <w:t xml:space="preserve">s for the two pieces of shared state — the session and the cart. Screens read them with </w:t>
      </w:r>
      <w:r>
        <w:rPr>
          <w:rStyle w:val="VerbatimChar"/>
        </w:rPr>
        <w:t>context.watch</w:t>
      </w:r>
      <w:r>
        <w:rPr/>
        <w:t xml:space="preserve"> (to rebuild on change) or </w:t>
      </w:r>
      <w:r>
        <w:rPr>
          <w:rStyle w:val="VerbatimChar"/>
        </w:rPr>
        <w:t>context.read</w:t>
      </w:r>
      <w:r>
        <w:rPr/>
        <w:t xml:space="preserve"> (to call a method).</w:t>
      </w:r>
    </w:p>
    <w:p>
      <w:pPr>
        <w:pStyle w:val="BodyText"/>
        <w:rPr/>
      </w:pPr>
      <w:r>
        <w:rPr>
          <w:b/>
        </w:rPr>
        <w:t>Repositories</w:t>
      </w:r>
      <w:r>
        <w:rPr/>
        <w:t xml:space="preserve"> (</w:t>
      </w:r>
      <w:r>
        <w:rPr>
          <w:rStyle w:val="VerbatimChar"/>
        </w:rPr>
        <w:t>lib/data/*_repository.dart</w:t>
      </w:r>
      <w:r>
        <w:rPr/>
        <w:t>) are the only classes that run SQL. Each groups the operations for one area (auth, catalogue, cart, orders, reviews, support, admin). They convert rows to models and back.</w:t>
      </w:r>
    </w:p>
    <w:p>
      <w:pPr>
        <w:pStyle w:val="BodyText"/>
        <w:rPr/>
      </w:pPr>
      <w:r>
        <w:rPr>
          <w:b/>
        </w:rPr>
        <w:t>DatabaseHelper</w:t>
      </w:r>
      <w:r>
        <w:rPr/>
        <w:t xml:space="preserve"> (</w:t>
      </w:r>
      <w:r>
        <w:rPr>
          <w:rStyle w:val="VerbatimChar"/>
        </w:rPr>
        <w:t>lib/data/database_helper.dart</w:t>
      </w:r>
      <w:r>
        <w:rPr/>
        <w:t>) owns the single connection, creates the schema and indexes on first launch, seeds the sample data, and exposes the rating-recomputation helpers.</w:t>
      </w:r>
    </w:p>
    <w:p>
      <w:pPr>
        <w:pStyle w:val="Normal"/>
        <w:rPr/>
      </w:pPr>
      <w:r>
        <w:rPr/>
      </w:r>
      <w:r>
        <w:br w:type="page"/>
      </w:r>
    </w:p>
    <w:p>
      <w:pPr>
        <w:pStyle w:val="Heading1"/>
        <w:spacing w:before="0" w:after="0"/>
        <w:rPr/>
      </w:pPr>
      <w:bookmarkStart w:id="10" w:name="__RefHeading___Toc996_126822293"/>
      <w:bookmarkStart w:id="11" w:name="conventions-and-why-they-were-chosen"/>
      <w:bookmarkEnd w:id="10"/>
      <w:r>
        <w:rPr/>
        <w:t>5. Conventions, and why they were chosen</w:t>
      </w:r>
      <w:bookmarkEnd w:id="11"/>
    </w:p>
    <w:p>
      <w:pPr>
        <w:pStyle w:val="FirstParagraph"/>
        <w:rPr/>
      </w:pPr>
      <w:r>
        <w:rPr/>
        <w:t>This project makes some deliberate choices for stability and clarity. Keep to them when editing.</w:t>
      </w:r>
    </w:p>
    <w:p>
      <w:pPr>
        <w:pStyle w:val="Heading2"/>
        <w:rPr/>
      </w:pPr>
      <w:bookmarkStart w:id="12" w:name="__RefHeading___Toc998_126822293"/>
      <w:bookmarkStart w:id="13" w:name="result-or-message-returns"/>
      <w:bookmarkEnd w:id="12"/>
      <w:r>
        <w:rPr/>
        <w:t>5.1 Result-or-message returns</w:t>
      </w:r>
      <w:bookmarkEnd w:id="13"/>
    </w:p>
    <w:p>
      <w:pPr>
        <w:pStyle w:val="FirstParagraph"/>
        <w:rPr/>
      </w:pPr>
      <w:r>
        <w:rPr/>
        <w:t xml:space="preserve">Repository </w:t>
      </w:r>
      <w:r>
        <w:rPr>
          <w:b/>
        </w:rPr>
        <w:t>write</w:t>
      </w:r>
      <w:r>
        <w:rPr/>
        <w:t xml:space="preserve"> methods and all </w:t>
      </w:r>
      <w:r>
        <w:rPr>
          <w:b/>
        </w:rPr>
        <w:t>validators</w:t>
      </w:r>
      <w:r>
        <w:rPr/>
        <w:t xml:space="preserve"> return </w:t>
      </w:r>
      <w:r>
        <w:rPr>
          <w:rStyle w:val="VerbatimChar"/>
        </w:rPr>
        <w:t>String?</w:t>
      </w:r>
      <w:r>
        <w:rPr/>
        <w:t xml:space="preserve">: </w:t>
      </w:r>
      <w:r>
        <w:rPr>
          <w:rStyle w:val="VerbatimChar"/>
        </w:rPr>
        <w:t>null</w:t>
      </w:r>
      <w:r>
        <w:rPr/>
        <w:t xml:space="preserve"> means success, and a non-null value is a human-readable error message ready to show the user. This is why screens can do:</w:t>
      </w:r>
    </w:p>
    <w:p>
      <w:pPr>
        <w:pStyle w:val="SourceCode"/>
        <w:rPr/>
      </w:pPr>
      <w:r>
        <w:rPr>
          <w:rStyle w:val="VerbatimChar"/>
        </w:rPr>
        <w:t>final String? error = await repo.doThing(...);</w:t>
      </w:r>
      <w:r>
        <w:rPr/>
        <w:br/>
      </w:r>
      <w:r>
        <w:rPr>
          <w:rStyle w:val="VerbatimChar"/>
        </w:rPr>
        <w:t>if (error != null) { showSnack(context, error, error: true); return; }</w:t>
      </w:r>
    </w:p>
    <w:p>
      <w:pPr>
        <w:pStyle w:val="FirstParagraph"/>
        <w:rPr/>
      </w:pPr>
      <w:r>
        <w:rPr/>
        <w:t>It avoids exceptions for ordinary validation failures and puts the wording of an error next to the rule that produced it.</w:t>
      </w:r>
    </w:p>
    <w:p>
      <w:pPr>
        <w:pStyle w:val="Heading2"/>
        <w:rPr/>
      </w:pPr>
      <w:bookmarkStart w:id="14" w:name="__RefHeading___Toc1000_126822293"/>
      <w:bookmarkStart w:id="15" w:name="single-sources-of-truth"/>
      <w:bookmarkEnd w:id="14"/>
      <w:r>
        <w:rPr/>
        <w:t>5.2 Single sources of truth</w:t>
      </w:r>
      <w:bookmarkEnd w:id="15"/>
    </w:p>
    <w:p>
      <w:pPr>
        <w:pStyle w:val="Compact"/>
        <w:numPr>
          <w:ilvl w:val="0"/>
          <w:numId w:val="1"/>
        </w:numPr>
        <w:rPr/>
      </w:pPr>
      <w:r>
        <w:rPr>
          <w:b/>
        </w:rPr>
        <w:t>Pricing</w:t>
      </w:r>
      <w:r>
        <w:rPr/>
        <w:t xml:space="preserve"> lives only in </w:t>
      </w:r>
      <w:r>
        <w:rPr>
          <w:rStyle w:val="VerbatimChar"/>
        </w:rPr>
        <w:t>lib/core/pricing.dart</w:t>
      </w:r>
      <w:r>
        <w:rPr/>
        <w:t xml:space="preserve">. Checkout, the cart summary, and the seeded orders all call it, so a receipt can never disagree with the cart. Change the tax rate or delivery fee in </w:t>
      </w:r>
      <w:r>
        <w:rPr>
          <w:rStyle w:val="VerbatimChar"/>
        </w:rPr>
        <w:t>app_config.dart</w:t>
      </w:r>
      <w:r>
        <w:rPr/>
        <w:t xml:space="preserve"> and everything follows.</w:t>
      </w:r>
    </w:p>
    <w:p>
      <w:pPr>
        <w:pStyle w:val="Compact"/>
        <w:numPr>
          <w:ilvl w:val="0"/>
          <w:numId w:val="1"/>
        </w:numPr>
        <w:rPr/>
      </w:pPr>
      <w:r>
        <w:rPr>
          <w:b/>
        </w:rPr>
        <w:t>Statuses</w:t>
      </w:r>
      <w:r>
        <w:rPr/>
        <w:t xml:space="preserve"> (order and ticket) live only in </w:t>
      </w:r>
      <w:r>
        <w:rPr>
          <w:rStyle w:val="VerbatimChar"/>
        </w:rPr>
        <w:t>lib/core/statuses.dart</w:t>
      </w:r>
      <w:r>
        <w:rPr/>
        <w:t xml:space="preserve">, including the allowed transitions. The admin UI reads </w:t>
      </w:r>
      <w:r>
        <w:rPr>
          <w:rStyle w:val="VerbatimChar"/>
        </w:rPr>
        <w:t>nextOptions</w:t>
      </w:r>
      <w:r>
        <w:rPr/>
        <w:t xml:space="preserve"> rather than hard-coding buttons.</w:t>
      </w:r>
    </w:p>
    <w:p>
      <w:pPr>
        <w:pStyle w:val="Compact"/>
        <w:numPr>
          <w:ilvl w:val="0"/>
          <w:numId w:val="1"/>
        </w:numPr>
        <w:rPr/>
      </w:pPr>
      <w:r>
        <w:rPr>
          <w:b/>
        </w:rPr>
        <w:t>Theme</w:t>
      </w:r>
      <w:r>
        <w:rPr/>
        <w:t xml:space="preserve"> (colours, spacing, radii, text styles, input and button styles) lives only in </w:t>
      </w:r>
      <w:r>
        <w:rPr>
          <w:rStyle w:val="VerbatimChar"/>
        </w:rPr>
        <w:t>lib/core/theme.dart</w:t>
      </w:r>
      <w:r>
        <w:rPr/>
        <w:t xml:space="preserve">. Screens reference </w:t>
      </w:r>
      <w:r>
        <w:rPr>
          <w:rStyle w:val="VerbatimChar"/>
        </w:rPr>
        <w:t>AppColors</w:t>
      </w:r>
      <w:r>
        <w:rPr/>
        <w:t xml:space="preserve">, </w:t>
      </w:r>
      <w:r>
        <w:rPr>
          <w:rStyle w:val="VerbatimChar"/>
        </w:rPr>
        <w:t>AppSpacing</w:t>
      </w:r>
      <w:r>
        <w:rPr/>
        <w:t>, etc.; no screen invents its own colour.</w:t>
      </w:r>
    </w:p>
    <w:p>
      <w:pPr>
        <w:pStyle w:val="Heading2"/>
        <w:rPr/>
      </w:pPr>
      <w:bookmarkStart w:id="16" w:name="__RefHeading___Toc1002_126822293"/>
      <w:bookmarkStart w:id="17" w:name="api-stability-choices"/>
      <w:bookmarkEnd w:id="16"/>
      <w:r>
        <w:rPr/>
        <w:t>5.3 API-stability choices</w:t>
      </w:r>
      <w:bookmarkEnd w:id="17"/>
    </w:p>
    <w:p>
      <w:pPr>
        <w:pStyle w:val="FirstParagraph"/>
        <w:rPr/>
      </w:pPr>
      <w:r>
        <w:rPr/>
        <w:t>To keep the build robust across Flutter versions, the code intentionally avoids some newer or more fragile APIs:</w:t>
      </w:r>
    </w:p>
    <w:p>
      <w:pPr>
        <w:pStyle w:val="Compact"/>
        <w:numPr>
          <w:ilvl w:val="0"/>
          <w:numId w:val="1"/>
        </w:numPr>
        <w:rPr/>
      </w:pPr>
      <w:r>
        <w:rPr/>
        <w:t>Material 3 is on, but no component-theme classes are used.</w:t>
      </w:r>
    </w:p>
    <w:p>
      <w:pPr>
        <w:pStyle w:val="Compact"/>
        <w:numPr>
          <w:ilvl w:val="0"/>
          <w:numId w:val="1"/>
        </w:numPr>
        <w:rPr/>
      </w:pPr>
      <w:r>
        <w:rPr/>
        <w:t>No Dart 3 record types; small groupings use named classes instead.</w:t>
      </w:r>
    </w:p>
    <w:p>
      <w:pPr>
        <w:pStyle w:val="Compact"/>
        <w:numPr>
          <w:ilvl w:val="0"/>
          <w:numId w:val="1"/>
        </w:numPr>
        <w:rPr/>
      </w:pPr>
      <w:r>
        <w:rPr>
          <w:rStyle w:val="VerbatimChar"/>
        </w:rPr>
        <w:t>DropdownButtonFormField</w:t>
      </w:r>
      <w:r>
        <w:rPr/>
        <w:t xml:space="preserve"> uses </w:t>
      </w:r>
      <w:r>
        <w:rPr>
          <w:rStyle w:val="VerbatimChar"/>
        </w:rPr>
        <w:t>value:</w:t>
      </w:r>
      <w:r>
        <w:rPr/>
        <w:t xml:space="preserve"> (not the newer </w:t>
      </w:r>
      <w:r>
        <w:rPr>
          <w:rStyle w:val="VerbatimChar"/>
        </w:rPr>
        <w:t>initialValue:</w:t>
      </w:r>
      <w:r>
        <w:rPr/>
        <w:t>).</w:t>
      </w:r>
    </w:p>
    <w:p>
      <w:pPr>
        <w:pStyle w:val="Compact"/>
        <w:numPr>
          <w:ilvl w:val="0"/>
          <w:numId w:val="1"/>
        </w:numPr>
        <w:rPr/>
      </w:pPr>
      <w:r>
        <w:rPr/>
        <w:t xml:space="preserve">Switches use </w:t>
      </w:r>
      <w:r>
        <w:rPr>
          <w:rStyle w:val="VerbatimChar"/>
        </w:rPr>
        <w:t>activeColor</w:t>
      </w:r>
      <w:r>
        <w:rPr/>
        <w:t xml:space="preserve"> (not </w:t>
      </w:r>
      <w:r>
        <w:rPr>
          <w:rStyle w:val="VerbatimChar"/>
        </w:rPr>
        <w:t>activeThumbColor</w:t>
      </w:r>
      <w:r>
        <w:rPr/>
        <w:t>).</w:t>
      </w:r>
    </w:p>
    <w:p>
      <w:pPr>
        <w:pStyle w:val="Compact"/>
        <w:numPr>
          <w:ilvl w:val="0"/>
          <w:numId w:val="1"/>
        </w:numPr>
        <w:rPr/>
      </w:pPr>
      <w:r>
        <w:rPr/>
        <w:t xml:space="preserve">Colour opacity uses </w:t>
      </w:r>
      <w:r>
        <w:rPr>
          <w:rStyle w:val="VerbatimChar"/>
        </w:rPr>
        <w:t>color.withValues(alpha:)</w:t>
      </w:r>
      <w:r>
        <w:rPr/>
        <w:t>.</w:t>
      </w:r>
    </w:p>
    <w:p>
      <w:pPr>
        <w:pStyle w:val="FirstParagraph"/>
        <w:rPr/>
      </w:pPr>
      <w:r>
        <w:rPr/>
        <w:t xml:space="preserve">If you edit a screen, matching these keeps </w:t>
      </w:r>
      <w:r>
        <w:rPr>
          <w:rStyle w:val="VerbatimChar"/>
        </w:rPr>
        <w:t>flutter analyze</w:t>
      </w:r>
      <w:r>
        <w:rPr/>
        <w:t xml:space="preserve"> clean on the widest range of SDK versions.</w:t>
      </w:r>
    </w:p>
    <w:p>
      <w:pPr>
        <w:pStyle w:val="Normal"/>
        <w:rPr/>
      </w:pPr>
      <w:r>
        <w:rPr/>
      </w:r>
      <w:r>
        <w:br w:type="page"/>
      </w:r>
    </w:p>
    <w:p>
      <w:pPr>
        <w:pStyle w:val="Heading1"/>
        <w:spacing w:before="0" w:after="0"/>
        <w:rPr/>
      </w:pPr>
      <w:bookmarkStart w:id="18" w:name="__RefHeading___Toc1004_126822293"/>
      <w:bookmarkStart w:id="19" w:name="data-and-demo-accounts"/>
      <w:bookmarkEnd w:id="18"/>
      <w:r>
        <w:rPr/>
        <w:t>6. Data and demo accounts</w:t>
      </w:r>
      <w:bookmarkEnd w:id="19"/>
    </w:p>
    <w:p>
      <w:pPr>
        <w:pStyle w:val="FirstParagraph"/>
        <w:rPr/>
      </w:pPr>
      <w:r>
        <w:rPr/>
        <w:t xml:space="preserve">On first launch, </w:t>
      </w:r>
      <w:r>
        <w:rPr>
          <w:rStyle w:val="VerbatimChar"/>
        </w:rPr>
        <w:t>DatabaseHelper</w:t>
      </w:r>
      <w:r>
        <w:rPr/>
        <w:t xml:space="preserve"> creates the schema and loads the sample data from </w:t>
      </w:r>
      <w:r>
        <w:rPr>
          <w:rStyle w:val="VerbatimChar"/>
        </w:rPr>
        <w:t>lib/data/seed_data.dart</w:t>
      </w:r>
      <w:r>
        <w:rPr/>
        <w:t xml:space="preserve"> inside a single transaction. The seed contains:</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4679"/>
        <w:gridCol w:w="4681"/>
      </w:tblGrid>
      <w:tr>
        <w:trPr>
          <w:cnfStyle w:firstRow="1"/>
        </w:trPr>
        <w:tc>
          <w:tcPr>
            <w:tcW w:w="467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w:t>
            </w:r>
          </w:p>
        </w:tc>
        <w:tc>
          <w:tcPr>
            <w:tcW w:w="468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Users (1 admin + 4 customers)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Categories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Sellers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reviews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Seller ratings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Saved addresses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Demo orders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 tickets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Support messages</w:t>
            </w:r>
          </w:p>
        </w:tc>
        <w:tc>
          <w:tcPr>
            <w:tcW w:w="468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r>
    </w:tbl>
    <w:p>
      <w:pPr>
        <w:pStyle w:val="BodyText"/>
        <w:rPr/>
      </w:pPr>
      <w:r>
        <w:rPr/>
        <w:t>The two accounts used for demonstration:</w:t>
      </w:r>
    </w:p>
    <w:tbl>
      <w:tblPr>
        <w:tblStyle w:val="Table"/>
        <w:tblW w:w="9360" w:type="dxa"/>
        <w:jc w:val="left"/>
        <w:tblInd w:w="0" w:type="dxa"/>
        <w:tblLayout w:type="fixed"/>
        <w:tblCellMar>
          <w:top w:w="0" w:type="dxa"/>
          <w:left w:w="108" w:type="dxa"/>
          <w:bottom w:w="0" w:type="dxa"/>
          <w:right w:w="108" w:type="dxa"/>
        </w:tblCellMar>
        <w:tblLook w:firstRow="1" w:val="07e0"/>
      </w:tblPr>
      <w:tblGrid>
        <w:gridCol w:w="3120"/>
        <w:gridCol w:w="3120"/>
        <w:gridCol w:w="3120"/>
      </w:tblGrid>
      <w:tr>
        <w:trPr>
          <w:cnfStyle w:firstRow="1"/>
        </w:trPr>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Role</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Password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Customer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parent@babyshophub.com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Parent@123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Administrator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admin@babyshophub.com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Admin@123</w:t>
            </w:r>
          </w:p>
        </w:tc>
      </w:tr>
    </w:tbl>
    <w:p>
      <w:pPr>
        <w:pStyle w:val="BodyText"/>
        <w:rPr/>
      </w:pPr>
      <w:r>
        <w:rPr>
          <w:rStyle w:val="VerbatimChar"/>
        </w:rPr>
        <w:t>DatabaseHelper</w:t>
      </w:r>
      <w:r>
        <w:rPr/>
        <w:t xml:space="preserve"> also exposes a </w:t>
      </w:r>
      <w:r>
        <w:rPr>
          <w:rStyle w:val="VerbatimChar"/>
        </w:rPr>
        <w:t>resetDatabase()</w:t>
      </w:r>
      <w:r>
        <w:rPr/>
        <w:t xml:space="preserve"> for demos, and the schema is recreated automatically if the database file is deleted.</w:t>
      </w:r>
    </w:p>
    <w:p>
      <w:pPr>
        <w:pStyle w:val="Normal"/>
        <w:rPr/>
      </w:pPr>
      <w:r>
        <w:rPr/>
      </w:r>
      <w:r>
        <w:br w:type="page"/>
      </w:r>
    </w:p>
    <w:p>
      <w:pPr>
        <w:pStyle w:val="Heading1"/>
        <w:spacing w:before="0" w:after="0"/>
        <w:rPr/>
      </w:pPr>
      <w:bookmarkStart w:id="20" w:name="__RefHeading___Toc1006_126822293"/>
      <w:bookmarkStart w:id="21" w:name="how-to-make-common-changes"/>
      <w:bookmarkEnd w:id="20"/>
      <w:r>
        <w:rPr/>
        <w:t>7. How to make common changes</w:t>
      </w:r>
      <w:bookmarkEnd w:id="21"/>
    </w:p>
    <w:p>
      <w:pPr>
        <w:pStyle w:val="Heading2"/>
        <w:rPr/>
      </w:pPr>
      <w:bookmarkStart w:id="22" w:name="__RefHeading___Toc1008_126822293"/>
      <w:bookmarkStart w:id="23" w:name="add-a-product-in-code-seed"/>
      <w:bookmarkEnd w:id="22"/>
      <w:r>
        <w:rPr/>
        <w:t>7.1 Add a product (in code / seed)</w:t>
      </w:r>
      <w:bookmarkEnd w:id="23"/>
    </w:p>
    <w:p>
      <w:pPr>
        <w:pStyle w:val="FirstParagraph"/>
        <w:rPr/>
      </w:pPr>
      <w:r>
        <w:rPr/>
        <w:t xml:space="preserve">Products are normally added through the </w:t>
      </w:r>
      <w:r>
        <w:rPr>
          <w:b/>
        </w:rPr>
        <w:t>admin Product form</w:t>
      </w:r>
      <w:r>
        <w:rPr/>
        <w:t xml:space="preserve"> at runtime. To add one to the seeded data, add a map to the </w:t>
      </w:r>
      <w:r>
        <w:rPr>
          <w:rStyle w:val="VerbatimChar"/>
        </w:rPr>
        <w:t>products</w:t>
      </w:r>
      <w:r>
        <w:rPr/>
        <w:t xml:space="preserve"> list in </w:t>
      </w:r>
      <w:r>
        <w:rPr>
          <w:rStyle w:val="VerbatimChar"/>
        </w:rPr>
        <w:t>seed_data.dart</w:t>
      </w:r>
      <w:r>
        <w:rPr/>
        <w:t xml:space="preserve"> with a </w:t>
      </w:r>
      <w:r>
        <w:rPr>
          <w:rStyle w:val="VerbatimChar"/>
        </w:rPr>
        <w:t>name</w:t>
      </w:r>
      <w:r>
        <w:rPr/>
        <w:t xml:space="preserve">, </w:t>
      </w:r>
      <w:r>
        <w:rPr>
          <w:rStyle w:val="VerbatimChar"/>
        </w:rPr>
        <w:t>brand</w:t>
      </w:r>
      <w:r>
        <w:rPr/>
        <w:t xml:space="preserve">, </w:t>
      </w:r>
      <w:r>
        <w:rPr>
          <w:rStyle w:val="VerbatimChar"/>
        </w:rPr>
        <w:t>price</w:t>
      </w:r>
      <w:r>
        <w:rPr/>
        <w:t xml:space="preserve">, </w:t>
      </w:r>
      <w:r>
        <w:rPr>
          <w:rStyle w:val="VerbatimChar"/>
        </w:rPr>
        <w:t>category_id</w:t>
      </w:r>
      <w:r>
        <w:rPr/>
        <w:t xml:space="preserve">, </w:t>
      </w:r>
      <w:r>
        <w:rPr>
          <w:rStyle w:val="VerbatimChar"/>
        </w:rPr>
        <w:t>seller_id</w:t>
      </w:r>
      <w:r>
        <w:rPr/>
        <w:t xml:space="preserve">, </w:t>
      </w:r>
      <w:r>
        <w:rPr>
          <w:rStyle w:val="VerbatimChar"/>
        </w:rPr>
        <w:t>stock</w:t>
      </w:r>
      <w:r>
        <w:rPr/>
        <w:t xml:space="preserve">, and an </w:t>
      </w:r>
      <w:r>
        <w:rPr>
          <w:rStyle w:val="VerbatimChar"/>
        </w:rPr>
        <w:t>image_path</w:t>
      </w:r>
      <w:r>
        <w:rPr/>
        <w:t xml:space="preserve">, and drop the matching image into </w:t>
      </w:r>
      <w:r>
        <w:rPr>
          <w:rStyle w:val="VerbatimChar"/>
        </w:rPr>
        <w:t>assets/images/products/</w:t>
      </w:r>
      <w:r>
        <w:rPr/>
        <w:t xml:space="preserve">. Image paths follow </w:t>
      </w:r>
      <w:r>
        <w:rPr>
          <w:rStyle w:val="VerbatimChar"/>
        </w:rPr>
        <w:t>assets/images/products/&lt;stem&gt;.png</w:t>
      </w:r>
      <w:r>
        <w:rPr/>
        <w:t>.</w:t>
      </w:r>
    </w:p>
    <w:p>
      <w:pPr>
        <w:pStyle w:val="Heading2"/>
        <w:rPr/>
      </w:pPr>
      <w:bookmarkStart w:id="24" w:name="__RefHeading___Toc1010_126822293"/>
      <w:bookmarkStart w:id="25" w:name="add-a-screen"/>
      <w:bookmarkEnd w:id="24"/>
      <w:r>
        <w:rPr/>
        <w:t>7.2 Add a screen</w:t>
      </w:r>
      <w:bookmarkEnd w:id="25"/>
    </w:p>
    <w:p>
      <w:pPr>
        <w:pStyle w:val="Compact"/>
        <w:numPr>
          <w:ilvl w:val="0"/>
          <w:numId w:val="7"/>
        </w:numPr>
        <w:rPr/>
      </w:pPr>
      <w:r>
        <w:rPr/>
        <w:t xml:space="preserve">Create the screen file under the right </w:t>
      </w:r>
      <w:r>
        <w:rPr>
          <w:rStyle w:val="VerbatimChar"/>
        </w:rPr>
        <w:t>lib/screens/</w:t>
      </w:r>
      <w:r>
        <w:rPr/>
        <w:t xml:space="preserve"> subfolder.</w:t>
      </w:r>
    </w:p>
    <w:p>
      <w:pPr>
        <w:pStyle w:val="Compact"/>
        <w:numPr>
          <w:ilvl w:val="0"/>
          <w:numId w:val="3"/>
        </w:numPr>
        <w:rPr/>
      </w:pPr>
      <w:r>
        <w:rPr/>
        <w:t>Import the barrels you need (</w:t>
      </w:r>
      <w:r>
        <w:rPr>
          <w:rStyle w:val="VerbatimChar"/>
        </w:rPr>
        <w:t>models.dart</w:t>
      </w:r>
      <w:r>
        <w:rPr/>
        <w:t xml:space="preserve">, </w:t>
      </w:r>
      <w:r>
        <w:rPr>
          <w:rStyle w:val="VerbatimChar"/>
        </w:rPr>
        <w:t>providers.dart</w:t>
      </w:r>
      <w:r>
        <w:rPr/>
        <w:t xml:space="preserve">, </w:t>
      </w:r>
      <w:r>
        <w:rPr>
          <w:rStyle w:val="VerbatimChar"/>
        </w:rPr>
        <w:t>widgets.dart</w:t>
      </w:r>
      <w:r>
        <w:rPr/>
        <w:t>) plus any repository.</w:t>
      </w:r>
    </w:p>
    <w:p>
      <w:pPr>
        <w:pStyle w:val="Compact"/>
        <w:numPr>
          <w:ilvl w:val="0"/>
          <w:numId w:val="3"/>
        </w:numPr>
        <w:rPr/>
      </w:pPr>
      <w:r>
        <w:rPr/>
        <w:t xml:space="preserve">Reach it with a </w:t>
      </w:r>
      <w:r>
        <w:rPr>
          <w:rStyle w:val="VerbatimChar"/>
        </w:rPr>
        <w:t>MaterialPageRoute</w:t>
      </w:r>
      <w:r>
        <w:rPr/>
        <w:t>, or add it as a tab in the relevant shell (</w:t>
      </w:r>
      <w:r>
        <w:rPr>
          <w:rStyle w:val="VerbatimChar"/>
        </w:rPr>
        <w:t>customer_shell.dart</w:t>
      </w:r>
      <w:r>
        <w:rPr/>
        <w:t xml:space="preserve"> or </w:t>
      </w:r>
      <w:r>
        <w:rPr>
          <w:rStyle w:val="VerbatimChar"/>
        </w:rPr>
        <w:t>admin_shell.dart</w:t>
      </w:r>
      <w:r>
        <w:rPr/>
        <w:t>).</w:t>
      </w:r>
    </w:p>
    <w:p>
      <w:pPr>
        <w:pStyle w:val="Compact"/>
        <w:numPr>
          <w:ilvl w:val="0"/>
          <w:numId w:val="3"/>
        </w:numPr>
        <w:rPr/>
      </w:pPr>
      <w:r>
        <w:rPr/>
        <w:t xml:space="preserve">Use </w:t>
      </w:r>
      <w:r>
        <w:rPr>
          <w:rStyle w:val="VerbatimChar"/>
        </w:rPr>
        <w:t>AppColors</w:t>
      </w:r>
      <w:r>
        <w:rPr/>
        <w:t>/</w:t>
      </w:r>
      <w:r>
        <w:rPr>
          <w:rStyle w:val="VerbatimChar"/>
        </w:rPr>
        <w:t>AppSpacing</w:t>
      </w:r>
      <w:r>
        <w:rPr/>
        <w:t>/etc. from the theme and the shared widgets so it matches the rest of the app.</w:t>
      </w:r>
    </w:p>
    <w:p>
      <w:pPr>
        <w:pStyle w:val="Heading2"/>
        <w:rPr/>
      </w:pPr>
      <w:bookmarkStart w:id="26" w:name="__RefHeading___Toc1012_126822293"/>
      <w:bookmarkStart w:id="27" w:name="add-a-repository-method"/>
      <w:bookmarkEnd w:id="26"/>
      <w:r>
        <w:rPr/>
        <w:t>7.3 Add a repository method</w:t>
      </w:r>
      <w:bookmarkEnd w:id="27"/>
    </w:p>
    <w:p>
      <w:pPr>
        <w:pStyle w:val="Compact"/>
        <w:numPr>
          <w:ilvl w:val="0"/>
          <w:numId w:val="8"/>
        </w:numPr>
        <w:rPr/>
      </w:pPr>
      <w:r>
        <w:rPr/>
        <w:t xml:space="preserve">Add the method to the appropriate repository in </w:t>
      </w:r>
      <w:r>
        <w:rPr>
          <w:rStyle w:val="VerbatimChar"/>
        </w:rPr>
        <w:t>lib/data/</w:t>
      </w:r>
      <w:r>
        <w:rPr/>
        <w:t>.</w:t>
      </w:r>
    </w:p>
    <w:p>
      <w:pPr>
        <w:pStyle w:val="Compact"/>
        <w:numPr>
          <w:ilvl w:val="0"/>
          <w:numId w:val="3"/>
        </w:numPr>
        <w:rPr/>
      </w:pPr>
      <w:r>
        <w:rPr/>
        <w:t xml:space="preserve">Return </w:t>
      </w:r>
      <w:r>
        <w:rPr>
          <w:rStyle w:val="VerbatimChar"/>
        </w:rPr>
        <w:t>Future&lt;String?&gt;</w:t>
      </w:r>
      <w:r>
        <w:rPr/>
        <w:t xml:space="preserve"> for a write (null on success, message on failure), or </w:t>
      </w:r>
      <w:r>
        <w:rPr>
          <w:rStyle w:val="VerbatimChar"/>
        </w:rPr>
        <w:t>Future&lt;T&gt;</w:t>
      </w:r>
      <w:r>
        <w:rPr/>
        <w:t xml:space="preserve"> for a read.</w:t>
      </w:r>
    </w:p>
    <w:p>
      <w:pPr>
        <w:pStyle w:val="Compact"/>
        <w:numPr>
          <w:ilvl w:val="0"/>
          <w:numId w:val="3"/>
        </w:numPr>
        <w:rPr/>
      </w:pPr>
      <w:r>
        <w:rPr/>
        <w:t xml:space="preserve">Do all SQL through the injected </w:t>
      </w:r>
      <w:r>
        <w:rPr>
          <w:rStyle w:val="VerbatimChar"/>
        </w:rPr>
        <w:t>Database</w:t>
      </w:r>
      <w:r>
        <w:rPr/>
        <w:t>; do not open a second connection.</w:t>
      </w:r>
    </w:p>
    <w:p>
      <w:pPr>
        <w:pStyle w:val="Compact"/>
        <w:numPr>
          <w:ilvl w:val="0"/>
          <w:numId w:val="3"/>
        </w:numPr>
        <w:rPr/>
      </w:pPr>
      <w:r>
        <w:rPr/>
        <w:t>If it changes reviews, call the rating-recompute helper so totals stay correct.</w:t>
      </w:r>
    </w:p>
    <w:p>
      <w:pPr>
        <w:pStyle w:val="Heading2"/>
        <w:rPr/>
      </w:pPr>
      <w:bookmarkStart w:id="28" w:name="__RefHeading___Toc1014_126822293"/>
      <w:bookmarkStart w:id="29" w:name="change-money-or-tax-rules"/>
      <w:bookmarkEnd w:id="28"/>
      <w:r>
        <w:rPr/>
        <w:t>7.4 Change money or tax rules</w:t>
      </w:r>
      <w:bookmarkEnd w:id="29"/>
    </w:p>
    <w:p>
      <w:pPr>
        <w:pStyle w:val="FirstParagraph"/>
        <w:rPr/>
      </w:pPr>
      <w:r>
        <w:rPr/>
        <w:t xml:space="preserve">Edit the constants in </w:t>
      </w:r>
      <w:r>
        <w:rPr>
          <w:rStyle w:val="VerbatimChar"/>
        </w:rPr>
        <w:t>lib/core/app_config.dart</w:t>
      </w:r>
      <w:r>
        <w:rPr/>
        <w:t xml:space="preserve"> (delivery fee, free-delivery threshold, tax rate, currency symbol). Do not scatter these values into screens — </w:t>
      </w:r>
      <w:r>
        <w:rPr>
          <w:rStyle w:val="VerbatimChar"/>
        </w:rPr>
        <w:t>Pricing</w:t>
      </w:r>
      <w:r>
        <w:rPr/>
        <w:t xml:space="preserve"> reads them centrally.</w:t>
      </w:r>
    </w:p>
    <w:p>
      <w:pPr>
        <w:pStyle w:val="Normal"/>
        <w:rPr/>
      </w:pPr>
      <w:r>
        <w:rPr/>
      </w:r>
      <w:r>
        <w:br w:type="page"/>
      </w:r>
    </w:p>
    <w:p>
      <w:pPr>
        <w:pStyle w:val="Heading1"/>
        <w:spacing w:before="0" w:after="0"/>
        <w:rPr/>
      </w:pPr>
      <w:bookmarkStart w:id="30" w:name="__RefHeading___Toc1016_126822293"/>
      <w:bookmarkStart w:id="31" w:name="verifying-the-code"/>
      <w:bookmarkEnd w:id="30"/>
      <w:r>
        <w:rPr/>
        <w:t>8. Verifying the code</w:t>
      </w:r>
      <w:bookmarkEnd w:id="31"/>
    </w:p>
    <w:p>
      <w:pPr>
        <w:pStyle w:val="FirstParagraph"/>
        <w:rPr/>
      </w:pPr>
      <w:r>
        <w:rPr/>
        <w:t>The authoritative check on the codebase is the Dart analyzer:</w:t>
      </w:r>
    </w:p>
    <w:p>
      <w:pPr>
        <w:pStyle w:val="SourceCode"/>
        <w:rPr/>
      </w:pPr>
      <w:r>
        <w:rPr>
          <w:rStyle w:val="VerbatimChar"/>
        </w:rPr>
        <w:t>flutter analyze</w:t>
      </w:r>
    </w:p>
    <w:p>
      <w:pPr>
        <w:pStyle w:val="FirstParagraph"/>
        <w:rPr/>
      </w:pPr>
      <w:r>
        <w:rPr/>
        <w:t xml:space="preserve">It type-checks every file, resolves every reference, and applies the lint rules configured in </w:t>
      </w:r>
      <w:r>
        <w:rPr>
          <w:rStyle w:val="VerbatimChar"/>
        </w:rPr>
        <w:t>analysis_options.yaml</w:t>
      </w:r>
      <w:r>
        <w:rPr/>
        <w:t xml:space="preserve"> (the standard </w:t>
      </w:r>
      <w:r>
        <w:rPr>
          <w:rStyle w:val="VerbatimChar"/>
        </w:rPr>
        <w:t>flutter_lints</w:t>
      </w:r>
      <w:r>
        <w:rPr/>
        <w:t xml:space="preserve"> set). Run it from the project root after any change; on this project it reports </w:t>
      </w:r>
      <w:r>
        <w:rPr>
          <w:rStyle w:val="VerbatimChar"/>
        </w:rPr>
        <w:t>No issues found!</w:t>
      </w:r>
      <w:r>
        <w:rPr/>
        <w:t>. Because the analyzer understands the whole project, a clean result means imports resolve, types line up, and no referenced widget, method, or asset is missing.</w:t>
      </w:r>
    </w:p>
    <w:p>
      <w:pPr>
        <w:pStyle w:val="BodyText"/>
        <w:rPr/>
      </w:pPr>
      <w:r>
        <w:rPr/>
        <w:t xml:space="preserve">Run </w:t>
      </w:r>
      <w:r>
        <w:rPr>
          <w:rStyle w:val="VerbatimChar"/>
        </w:rPr>
        <w:t>flutter analyze</w:t>
      </w:r>
      <w:r>
        <w:rPr/>
        <w:t xml:space="preserve"> first, and then </w:t>
      </w:r>
      <w:r>
        <w:rPr>
          <w:rStyle w:val="VerbatimChar"/>
        </w:rPr>
        <w:t>flutter run</w:t>
      </w:r>
      <w:r>
        <w:rPr/>
        <w:t xml:space="preserve"> (see the Setup Guide) to launch the app and confirm behaviour. Together these are all the verification the project needs.</w:t>
      </w:r>
    </w:p>
    <w:p>
      <w:pPr>
        <w:pStyle w:val="Normal"/>
        <w:rPr/>
      </w:pPr>
      <w:r>
        <w:rPr/>
      </w:r>
      <w:r>
        <w:br w:type="page"/>
      </w:r>
    </w:p>
    <w:p>
      <w:pPr>
        <w:pStyle w:val="Heading1"/>
        <w:spacing w:before="0" w:after="0"/>
        <w:rPr/>
      </w:pPr>
      <w:bookmarkStart w:id="32" w:name="__RefHeading___Toc1018_126822293"/>
      <w:bookmarkStart w:id="33" w:name="known-limitations"/>
      <w:bookmarkEnd w:id="32"/>
      <w:r>
        <w:rPr/>
        <w:t>9. Known limitations</w:t>
      </w:r>
      <w:bookmarkEnd w:id="33"/>
    </w:p>
    <w:p>
      <w:pPr>
        <w:pStyle w:val="FirstParagraph"/>
        <w:rPr/>
      </w:pPr>
      <w:r>
        <w:rPr/>
        <w:t>These are deliberate scope boundaries for the eProject, not defects:</w:t>
      </w:r>
    </w:p>
    <w:p>
      <w:pPr>
        <w:pStyle w:val="Compact"/>
        <w:numPr>
          <w:ilvl w:val="0"/>
          <w:numId w:val="1"/>
        </w:numPr>
        <w:rPr/>
      </w:pPr>
      <w:r>
        <w:rPr>
          <w:b/>
        </w:rPr>
        <w:t>No real payment.</w:t>
      </w:r>
      <w:r>
        <w:rPr/>
        <w:t xml:space="preserve"> Checkout is simulated; no gateway is integrated and no real charge occurs.</w:t>
      </w:r>
    </w:p>
    <w:p>
      <w:pPr>
        <w:pStyle w:val="Compact"/>
        <w:numPr>
          <w:ilvl w:val="0"/>
          <w:numId w:val="1"/>
        </w:numPr>
        <w:rPr/>
      </w:pPr>
      <w:r>
        <w:rPr>
          <w:b/>
        </w:rPr>
        <w:t>No network or cloud.</w:t>
      </w:r>
      <w:r>
        <w:rPr/>
        <w:t xml:space="preserve"> All data is local to the device. There is no account server, so there is no cross-device sync and no email-based password reset — an administrator resets a password directly.</w:t>
      </w:r>
    </w:p>
    <w:p>
      <w:pPr>
        <w:pStyle w:val="Compact"/>
        <w:numPr>
          <w:ilvl w:val="0"/>
          <w:numId w:val="1"/>
        </w:numPr>
        <w:rPr/>
      </w:pPr>
      <w:r>
        <w:rPr>
          <w:b/>
        </w:rPr>
        <w:t>Single local database.</w:t>
      </w:r>
      <w:r>
        <w:rPr/>
        <w:t xml:space="preserve"> Uninstalling the app removes all data.</w:t>
      </w:r>
    </w:p>
    <w:p>
      <w:pPr>
        <w:pStyle w:val="Compact"/>
        <w:numPr>
          <w:ilvl w:val="0"/>
          <w:numId w:val="1"/>
        </w:numPr>
        <w:rPr/>
      </w:pPr>
      <w:r>
        <w:rPr>
          <w:b/>
        </w:rPr>
        <w:t>Not formally accessibility-certified.</w:t>
      </w:r>
      <w:r>
        <w:rPr/>
        <w:t xml:space="preserve"> The UI is built to be accessible (contrast, tap targets, labels) but has not been validated with assistive technologies.</w:t>
      </w:r>
    </w:p>
    <w:p>
      <w:pPr>
        <w:pStyle w:val="Compact"/>
        <w:numPr>
          <w:ilvl w:val="0"/>
          <w:numId w:val="1"/>
        </w:numPr>
        <w:rPr/>
      </w:pPr>
      <w:r>
        <w:rPr>
          <w:b/>
        </w:rPr>
        <w:t>Seed images are placeholders.</w:t>
      </w:r>
      <w:r>
        <w:rPr/>
        <w:t xml:space="preserve"> Product images are generated placeholders suitable for demonstration.</w:t>
      </w:r>
    </w:p>
    <w:p>
      <w:pPr>
        <w:pStyle w:val="FirstParagraph"/>
        <w:spacing w:before="180" w:after="180"/>
        <w:rPr/>
      </w:pPr>
      <w:r>
        <w:rPr>
          <w:i/>
        </w:rPr>
        <w:t>For the list of test cases that exercise the behaviours described here, see the Test Plan.</w:t>
      </w:r>
    </w:p>
    <w:sectPr>
      <w:footerReference w:type="even" r:id="rId2"/>
      <w:footerReference w:type="default" r:id="rId3"/>
      <w:footerReference w:type="first" r:id="rId4"/>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color w:val="8A8A8A"/>
        <w:sz w:val="18"/>
      </w:rPr>
    </w:pPr>
    <w:r>
      <w:rPr>
        <w:color w:val="8A8A8A"/>
        <w:sz w:val="18"/>
      </w:rPr>
      <w:fldChar w:fldCharType="begin"/>
    </w:r>
    <w:r>
      <w:rPr>
        <w:color w:val="8A8A8A"/>
        <w:sz w:val="18"/>
      </w:rPr>
      <w:instrText xml:space="preserve"> PAGE </w:instrText>
    </w:r>
    <w:r>
      <w:rPr>
        <w:color w:val="8A8A8A"/>
        <w:sz w:val="18"/>
      </w:rPr>
      <w:fldChar w:fldCharType="separate"/>
    </w:r>
    <w:r>
      <w:rPr>
        <w:color w:val="8A8A8A"/>
        <w:sz w:val="18"/>
      </w:rPr>
      <w:t>10</w:t>
    </w:r>
    <w:r>
      <w:rPr>
        <w:color w:val="8A8A8A"/>
        <w:sz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200"/>
      <w:jc w:val="center"/>
      <w:rPr>
        <w:color w:val="8A8A8A"/>
        <w:sz w:val="18"/>
      </w:rPr>
    </w:pPr>
    <w:r>
      <w:rPr>
        <w:color w:val="8A8A8A"/>
        <w:sz w:val="18"/>
      </w:rPr>
      <w:fldChar w:fldCharType="begin"/>
    </w:r>
    <w:r>
      <w:rPr>
        <w:color w:val="8A8A8A"/>
        <w:sz w:val="18"/>
      </w:rPr>
      <w:instrText xml:space="preserve"> PAGE </w:instrText>
    </w:r>
    <w:r>
      <w:rPr>
        <w:color w:val="8A8A8A"/>
        <w:sz w:val="18"/>
      </w:rPr>
      <w:fldChar w:fldCharType="separate"/>
    </w:r>
    <w:r>
      <w:rPr>
        <w:color w:val="8A8A8A"/>
        <w:sz w:val="18"/>
      </w:rPr>
      <w:t>10</w:t>
    </w:r>
    <w:r>
      <w:rPr>
        <w:color w:val="8A8A8A"/>
        <w:sz w:val="18"/>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2">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3">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4">
    <w:lvl w:ilvl="0">
      <w:start w:val="1"/>
      <w:numFmt w:val="decimal"/>
      <w:lvlText w:val="%1."/>
      <w:lvlJc w:val="left"/>
      <w:pPr>
        <w:tabs>
          <w:tab w:val="num" w:pos="0"/>
        </w:tabs>
        <w:ind w:left="480" w:hanging="480"/>
      </w:pPr>
      <w:rPr/>
    </w:lvl>
    <w:lvl w:ilvl="1">
      <w:start w:val="1"/>
      <w:numFmt w:val="decimal"/>
      <w:lvlText w:val="%2."/>
      <w:lvlJc w:val="left"/>
      <w:pPr>
        <w:tabs>
          <w:tab w:val="num" w:pos="720"/>
        </w:tabs>
        <w:ind w:left="1200" w:hanging="480"/>
      </w:pPr>
      <w:rPr/>
    </w:lvl>
    <w:lvl w:ilvl="2">
      <w:start w:val="1"/>
      <w:numFmt w:val="decimal"/>
      <w:lvlText w:val="%3."/>
      <w:lvlJc w:val="left"/>
      <w:pPr>
        <w:tabs>
          <w:tab w:val="num" w:pos="1440"/>
        </w:tabs>
        <w:ind w:left="1920" w:hanging="480"/>
      </w:pPr>
      <w:rPr/>
    </w:lvl>
    <w:lvl w:ilvl="3">
      <w:start w:val="1"/>
      <w:numFmt w:val="decimal"/>
      <w:lvlText w:val="%4."/>
      <w:lvlJc w:val="left"/>
      <w:pPr>
        <w:tabs>
          <w:tab w:val="num" w:pos="2160"/>
        </w:tabs>
        <w:ind w:left="2640" w:hanging="480"/>
      </w:pPr>
      <w:rPr/>
    </w:lvl>
    <w:lvl w:ilvl="4">
      <w:start w:val="1"/>
      <w:numFmt w:val="decimal"/>
      <w:lvlText w:val="%5."/>
      <w:lvlJc w:val="left"/>
      <w:pPr>
        <w:tabs>
          <w:tab w:val="num" w:pos="2880"/>
        </w:tabs>
        <w:ind w:left="3360" w:hanging="480"/>
      </w:pPr>
      <w:rPr/>
    </w:lvl>
    <w:lvl w:ilvl="5">
      <w:start w:val="1"/>
      <w:numFmt w:val="decimal"/>
      <w:lvlText w:val="%6."/>
      <w:lvlJc w:val="left"/>
      <w:pPr>
        <w:tabs>
          <w:tab w:val="num" w:pos="3600"/>
        </w:tabs>
        <w:ind w:left="4080" w:hanging="480"/>
      </w:pPr>
      <w:rPr/>
    </w:lvl>
    <w:lvl w:ilvl="6">
      <w:start w:val="1"/>
      <w:numFmt w:val="decimal"/>
      <w:lvlText w:val="%7."/>
      <w:lvlJc w:val="left"/>
      <w:pPr>
        <w:tabs>
          <w:tab w:val="num" w:pos="4320"/>
        </w:tabs>
        <w:ind w:left="4800" w:hanging="480"/>
      </w:pPr>
      <w:rPr/>
    </w:lvl>
    <w:lvl w:ilvl="7">
      <w:start w:val="1"/>
      <w:numFmt w:val="decimal"/>
      <w:lvlText w:val="%8."/>
      <w:lvlJc w:val="left"/>
      <w:pPr>
        <w:tabs>
          <w:tab w:val="num" w:pos="5040"/>
        </w:tabs>
        <w:ind w:left="5520" w:hanging="480"/>
      </w:pPr>
      <w:rPr/>
    </w:lvl>
    <w:lvl w:ilvl="8">
      <w:start w:val="1"/>
      <w:numFmt w:val="decimal"/>
      <w:lvlText w:val="%9."/>
      <w:lvlJc w:val="left"/>
      <w:pPr>
        <w:tabs>
          <w:tab w:val="num" w:pos="5760"/>
        </w:tabs>
        <w:ind w:left="6240" w:hanging="480"/>
      </w:pPr>
      <w:rPr/>
    </w:lvl>
  </w:abstractNum>
  <w:abstractNum w:abstractNumId="5">
    <w:lvl w:ilvl="0">
      <w:numFmt w:val="bullet"/>
      <w:lvlText w:val=""/>
      <w:lvlJc w:val="left"/>
      <w:pPr>
        <w:tabs>
          <w:tab w:val="num" w:pos="0"/>
        </w:tabs>
        <w:ind w:left="480" w:hanging="480"/>
      </w:pPr>
      <w:rPr>
        <w:rFonts w:ascii="Symbol" w:hAnsi="Symbol" w:cs="Symbol" w:hint="default"/>
      </w:rPr>
    </w:lvl>
    <w:lvl w:ilvl="1">
      <w:start w:val="0"/>
      <w:numFmt w:val="bullet"/>
      <w:lvlText w:val=""/>
      <w:lvlJc w:val="left"/>
      <w:pPr>
        <w:tabs>
          <w:tab w:val="num" w:pos="720"/>
        </w:tabs>
        <w:ind w:left="1200" w:hanging="480"/>
      </w:pPr>
      <w:rPr>
        <w:rFonts w:ascii="Symbol" w:hAnsi="Symbol" w:cs="Symbol" w:hint="default"/>
      </w:rPr>
    </w:lvl>
    <w:lvl w:ilvl="2">
      <w:start w:val="0"/>
      <w:numFmt w:val="bullet"/>
      <w:lvlText w:val=""/>
      <w:lvlJc w:val="left"/>
      <w:pPr>
        <w:tabs>
          <w:tab w:val="num" w:pos="1440"/>
        </w:tabs>
        <w:ind w:left="1920" w:hanging="480"/>
      </w:pPr>
      <w:rPr>
        <w:rFonts w:ascii="Symbol" w:hAnsi="Symbol" w:cs="Symbol" w:hint="default"/>
      </w:rPr>
    </w:lvl>
    <w:lvl w:ilvl="3">
      <w:start w:val="0"/>
      <w:numFmt w:val="bullet"/>
      <w:lvlText w:val=""/>
      <w:lvlJc w:val="left"/>
      <w:pPr>
        <w:tabs>
          <w:tab w:val="num" w:pos="2160"/>
        </w:tabs>
        <w:ind w:left="2640" w:hanging="480"/>
      </w:pPr>
      <w:rPr>
        <w:rFonts w:ascii="Symbol" w:hAnsi="Symbol" w:cs="Symbol" w:hint="default"/>
      </w:rPr>
    </w:lvl>
    <w:lvl w:ilvl="4">
      <w:start w:val="0"/>
      <w:numFmt w:val="bullet"/>
      <w:lvlText w:val=""/>
      <w:lvlJc w:val="left"/>
      <w:pPr>
        <w:tabs>
          <w:tab w:val="num" w:pos="2880"/>
        </w:tabs>
        <w:ind w:left="3360" w:hanging="480"/>
      </w:pPr>
      <w:rPr>
        <w:rFonts w:ascii="Symbol" w:hAnsi="Symbol" w:cs="Symbol" w:hint="default"/>
      </w:rPr>
    </w:lvl>
    <w:lvl w:ilvl="5">
      <w:start w:val="0"/>
      <w:numFmt w:val="bullet"/>
      <w:lvlText w:val=""/>
      <w:lvlJc w:val="left"/>
      <w:pPr>
        <w:tabs>
          <w:tab w:val="num" w:pos="3600"/>
        </w:tabs>
        <w:ind w:left="4080" w:hanging="480"/>
      </w:pPr>
      <w:rPr>
        <w:rFonts w:ascii="Symbol" w:hAnsi="Symbol" w:cs="Symbol" w:hint="default"/>
      </w:rPr>
    </w:lvl>
    <w:lvl w:ilvl="6">
      <w:start w:val="0"/>
      <w:numFmt w:val="bullet"/>
      <w:lvlText w:val=""/>
      <w:lvlJc w:val="left"/>
      <w:pPr>
        <w:tabs>
          <w:tab w:val="num" w:pos="4320"/>
        </w:tabs>
        <w:ind w:left="4800" w:hanging="480"/>
      </w:pPr>
      <w:rPr>
        <w:rFonts w:ascii="Symbol" w:hAnsi="Symbol" w:cs="Symbol" w:hint="default"/>
      </w:rPr>
    </w:lvl>
    <w:lvl w:ilvl="7">
      <w:start w:val="0"/>
      <w:numFmt w:val="bullet"/>
      <w:lvlText w:val=""/>
      <w:lvlJc w:val="left"/>
      <w:pPr>
        <w:tabs>
          <w:tab w:val="num" w:pos="5040"/>
        </w:tabs>
        <w:ind w:left="5520" w:hanging="480"/>
      </w:pPr>
      <w:rPr>
        <w:rFonts w:ascii="Symbol" w:hAnsi="Symbol" w:cs="Symbol" w:hint="default"/>
      </w:rPr>
    </w:lvl>
    <w:lvl w:ilvl="8">
      <w:start w:val="0"/>
      <w:numFmt w:val="bullet"/>
      <w:lvlText w:val=""/>
      <w:lvlJc w:val="left"/>
      <w:pPr>
        <w:tabs>
          <w:tab w:val="num" w:pos="5760"/>
        </w:tabs>
        <w:ind w:left="6240" w:hanging="480"/>
      </w:pPr>
      <w:rPr>
        <w:rFonts w:ascii="Symbol" w:hAnsi="Symbol" w:cs="Symbol"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3"/>
    <w:lvlOverride w:ilvl="0">
      <w:startOverride w:val="1"/>
    </w:lvlOverride>
  </w:num>
  <w:num w:numId="8">
    <w:abstractNumId w:val="3"/>
    <w:lvlOverride w:ilvl="0">
      <w:startOverride w:val="1"/>
    </w:lvlOverride>
  </w:num>
</w:numbering>
</file>

<file path=word/settings.xml><?xml version="1.0" encoding="utf-8"?>
<w:settings xmlns:w="http://schemas.openxmlformats.org/wordprocessingml/2006/main">
  <w:zoom w:percent="9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val="B14A63"/>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val="B14A63"/>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val="B14A63"/>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val="B14A63"/>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val="B14A63"/>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val="B14A63"/>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val="B14A63"/>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val="B14A63"/>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val="B14A63"/>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val="B14A63"/>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DejaVu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DejaVu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val="B14A63"/>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 w:customStyle="1">
    <w:name w:val="Abstract"/>
    <w:basedOn w:val="Normal"/>
    <w:next w:val="BodyText"/>
    <w:qFormat/>
    <w:pPr>
      <w:keepNext w:val="true"/>
      <w:keepLines/>
      <w:spacing w:before="3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val="B14A63"/>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table" w:default="1" w:styleId="Table">
    <w:name w:val="Table"/>
    <w:basedOn w:val="TableNormal"/>
    <w:semiHidden/>
    <w:unhideWhenUsed/>
    <w:qFormat/>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LibreOffice/26.2.5.2$Linux_X86_64 LibreOffice_project/620$Build-2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2026-09-21T06:18:32Z</dcterms:created>
  <dc:creator>Aptech eProject Submission</dc:creator>
  <dc:description/>
  <dc:language>en-US</dc:language>
  <cp:lastModifiedBy/>
  <dcterms:modified xsi:type="dcterms:W3CDTF">2026-09-21T07:24:42Z</dcterms:modified>
  <cp:revision>1</cp:revision>
  <dc:subject/>
  <dc:title>BabyShopHub</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Version 1.0</vt:lpwstr>
  </property>
  <property fmtid="{D5CDD505-2E9C-101B-9397-08002B2CF9AE}" pid="3" name="subtitle">
    <vt:lpwstr>Developer Guide</vt:lpwstr>
  </property>
</Properties>
</file>