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exact"/>
        <w:jc w:val="center"/>
      </w:pPr>
      <w:r>
        <w:rPr>
          <w:rFonts w:ascii="Times New Roman" w:hAnsi="Times New Roman"/>
          <w:b/>
          <w:sz w:val="28"/>
        </w:rPr>
        <w:t>Дополнение к главе 1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1.6. Анализ существующих программных решений для автоматизации документооборота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1.6.1. Обзор классов существующих решений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Для обоснования необходимости разработки специализированной системы проведён обзор существующих программных решений, применяемых или потенциально применимых для автоматизации сбора данных о студентах и формирования документов кафедры. Все рассматриваемые решения можно разделить на три класса.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Универсальные конструкторы форм. </w:t>
      </w:r>
      <w:r>
        <w:rPr>
          <w:rFonts w:ascii="Times New Roman" w:hAnsi="Times New Roman"/>
          <w:sz w:val="28"/>
        </w:rPr>
        <w:t>инструменты для создания онлайн-опросов и форм сбора данных общего назначения. Ориентированы на широкую аудиторию, не имеют специфики документооборота.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Корпоративные системы электронного документооборота (СЭД). </w:t>
      </w:r>
      <w:r>
        <w:rPr>
          <w:rFonts w:ascii="Times New Roman" w:hAnsi="Times New Roman"/>
          <w:sz w:val="28"/>
        </w:rPr>
        <w:t>полнофункциональные платформы для управления документами организации. Охватывают весь жизненный цикл документа, но требуют значительных ресурсов на внедрение и настройку.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Информационные системы управления учебным процессом. </w:t>
      </w:r>
      <w:r>
        <w:rPr>
          <w:rFonts w:ascii="Times New Roman" w:hAnsi="Times New Roman"/>
          <w:sz w:val="28"/>
        </w:rPr>
        <w:t>специализированные системы для вузов, автоматизирующие деканат, расписание, успеваемость. Содержат данные о студентах, но слабо поддерживают гибкую генерацию произвольных документов.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1.6.2. Универсальные конструкторы форм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К данному классу относятся Google Forms, Microsoft Forms (Microsoft 365), Typeform, SurveyMonkey и аналогичные сервисы. Рассмотрим наиболее распространённые из них.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Google Forms. </w:t>
      </w:r>
      <w:r>
        <w:rPr>
          <w:rFonts w:ascii="Times New Roman" w:hAnsi="Times New Roman"/>
          <w:sz w:val="28"/>
        </w:rPr>
        <w:t>Бесплатный сервис от Google, широко используемый в образовательных организациях. Позволяет создавать формы с различными типами полей (текст, выбор, шкала и др.), собирать ответы в таблицу Google Sheets. Обладает простым интерфейсом и не требует технических знаний. Однако структура формы фиксируется на этапе создания и не может динамически меняться в зависимости от контекста. Отсутствует возможность генерации DOCX-документов, работы с онтологическими данными и разграничения прав доступа на уровне ролей. Автоматическая рассылка напоминаний требует подключения сторонних дополнений.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Microsoft Forms. </w:t>
      </w:r>
      <w:r>
        <w:rPr>
          <w:rFonts w:ascii="Times New Roman" w:hAnsi="Times New Roman"/>
          <w:sz w:val="28"/>
        </w:rPr>
        <w:t>Аналогичный сервис в экосистеме Microsoft 365. Имеет схожие возможности и ограничения. Интегрируется с Microsoft SharePoint и Power Automate, что теоретически позволяет автоматизировать часть операций. Однако реализация полного цикла документооборота потребует значительных трудозатрат на настройку Power Automate-сценариев и не обеспечивает работу с OWL-онтологиями и SPARQL. Кроме того, сервис является платным в рамках корпоративной подписки.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Typeform. </w:t>
      </w:r>
      <w:r>
        <w:rPr>
          <w:rFonts w:ascii="Times New Roman" w:hAnsi="Times New Roman"/>
          <w:sz w:val="28"/>
        </w:rPr>
        <w:t>Современный сервис с упором на UX, поддерживающий условную логику отображения полей. Предоставляет API для интеграции, но также не поддерживает генерацию документов по шаблонам, хранение данных в онтологиях и специфические требования образовательного документооборота.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1.6.3. Корпоративные системы электронного документооборота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К данному классу относятся 1С:Документооборот, Directum, ELMA, Bitrix24 (модуль документов) и другие. Все они предоставляют полнофункциональные возможности управления документами, маршрутизации согласований, хранения архивов.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1С:Документооборот. </w:t>
      </w:r>
      <w:r>
        <w:rPr>
          <w:rFonts w:ascii="Times New Roman" w:hAnsi="Times New Roman"/>
          <w:sz w:val="28"/>
        </w:rPr>
        <w:t>Наиболее распространённая в российских организациях СЭД. Поддерживает создание шаблонов документов, маршруты согласования, учёт и архивирование. Имеет возможность интеграции с другими продуктами 1С. Вместе с тем система ориентирована на административный документооборот и плохо приспособлена к специфике кафедрального студенческого документооборота. Внедрение требует значительных затрат на лицензии и настройку под конкретные нужды кафедры. Работа с OWL-онтологиями не поддерживается.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ELMA BPM. </w:t>
      </w:r>
      <w:r>
        <w:rPr>
          <w:rFonts w:ascii="Times New Roman" w:hAnsi="Times New Roman"/>
          <w:sz w:val="28"/>
        </w:rPr>
        <w:t>Российская платформа для автоматизации бизнес-процессов, включающая модуль управления документами. Поддерживает BPMN-описание процессов, маршрутизацию документов, интеграцию с внешними системами через API. Однако ориентирована на крупные организации, стоимость лицензий существенна для отдельной кафедры. Динамическое формирование структуры форм на основе внешней онтологии требует разработки дополнительных модулей.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1.6.4. Информационные системы управления учебным процессом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В российских вузах широко применяются специализированные ИС: «Тандем», «Электронный деканат», ИС «Студент» и различные собственные разработки. Данные системы, как правило, решают задачи учёта контингента студентов, расписания, успеваемости, формирования стандартных отчётов.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Большинство таких систем содержат базу данных студентов, что потенциально позволяет избежать дублирования ввода. Однако они имеют следующие существенные ограничения применительно к задачам кафедры: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жёсткая структура хранимых данных, не позволяющая гибко добавлять новые атрибуты без изменения схемы базы данных;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отсутствие механизма динамического формирования форм на основе описания структуры документа;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ограниченные возможности генерации произвольных DOCX-документов по настраиваемым шаблонам;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отсутствие поддержки семантических технологий (OWL, RDF, SPARQL) для описания взаимосвязей между сущностями;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закрытый исходный код большинства коммерческих систем, что затрудняет их адаптацию к специфическим требованиям кафедры.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1.6.5. Сравнительная таблица решений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В таблице 2 приведено сравнение рассмотренных решений и разрабатываемой системы по ключевым критериям, определённым в разделе 1.4.</w:t>
      </w:r>
    </w:p>
    <w:p>
      <w:pPr>
        <w:spacing w:after="0" w:line="360" w:lineRule="exact"/>
        <w:jc w:val="center"/>
      </w:pPr>
      <w:r>
        <w:rPr>
          <w:rFonts w:ascii="Times New Roman" w:hAnsi="Times New Roman"/>
          <w:b/>
          <w:sz w:val="28"/>
        </w:rPr>
        <w:t>Таблица 2 — Сравнение существующих решений с разрабатываемой системой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Google</w:t>
              <w:br/>
              <w:t>Forms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1С:ДО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ИС</w:t>
              <w:br/>
              <w:t>Студент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ELMA</w:t>
              <w:br/>
              <w:t>BPM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Разраб.</w:t>
              <w:br/>
              <w:t>система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Динамические формы на основе схемы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±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±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Онтологическая модель данных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Генерация DOCX по шаблонам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±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Роли студент/секретарь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Авто-напоминания по email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±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Добавление полей без кода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±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±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Открытый исходный код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Специфика кафедры НГУ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</w:t>
            </w:r>
          </w:p>
        </w:tc>
      </w:tr>
    </w:tbl>
    <w:p>
      <w:pPr>
        <w:spacing w:after="0" w:line="360" w:lineRule="exact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Условные обозначения: «+» — функция поддерживается; «±» — поддерживается частично или требует дополнительной настройки; «—» — функция отсутствует.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Анализ таблицы показывает, что ни одно из рассмотренных решений не обеспечивает в полной мере выполнение всех требований, сформулированных для разрабатываемой системы. Особенно значимо отсутствие поддержки онтологической модели данных и динамического формирования форм на основе внешней схемы, что является принципиальным отличием предлагаемого подхода.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1.7. Онтологическое моделирование как основа семантических информационных систем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1.7.1. Понятие онтологии в информатике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Термин «онтология» в информатике и инженерии знаний обозначает формальное явное описание понятий предметной области (классов), свойств каждого понятия (атрибутов) и ограничений на эти свойства, а также отношений между понятиями. В отличие от реляционных баз данных, ориентированных на хранение структурированных табличных данных с фиксированной схемой, онтология позволяет описывать знания в виде графа утверждений и поддерживает логический вывод новых фактов на основе имеющихся.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Онтология как инструмент представления знаний обладает рядом принципиальных преимуществ по сравнению с традиционными реляционными моделями: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открытость мира (Open World Assumption): отсутствие факта в базе знаний не означает его ложности, что соответствует реальному неполному знанию о предметной области;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иерархия классов и наследование: подклассы автоматически наследуют свойства родительских классов, что сокращает дублирование описаний;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возможность логического вывода: специализированные программы-рассуждатели (reasoners) могут автоматически выводить новые факты и проверять согласованность базы знаний;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стандартизированные форматы и языки: OWL, RDF, SPARQL являются открытыми стандартами W3C, что обеспечивает интероперабельность и долгосрочную поддержку.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1.7.2. Стандарты семантических технологий W3C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Семантические технологии, используемые в разрабатываемой системе, основаны на следующих открытых стандартах консорциума W3C.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RDF (Resource Description Framework). </w:t>
      </w:r>
      <w:r>
        <w:rPr>
          <w:rFonts w:ascii="Times New Roman" w:hAnsi="Times New Roman"/>
          <w:sz w:val="28"/>
        </w:rPr>
        <w:t>базовая модель данных для представления информации в виде троек «субъект — предикат — объект» (triiples). Каждый ресурс идентифицируется URI. Граф RDF представляет собой набор таких троек, описывающих свойства ресурсов и связи между ними.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OWL (Web Ontology Language). </w:t>
      </w:r>
      <w:r>
        <w:rPr>
          <w:rFonts w:ascii="Times New Roman" w:hAnsi="Times New Roman"/>
          <w:sz w:val="28"/>
        </w:rPr>
        <w:t>язык описания онтологий, построенный поверх RDF. Обеспечивает богатые средства выражения: иерархии классов, ограничения на свойства, обратные и транзитивные свойства, эквивалентность классов и индивидуалов. OWL DL является подъязыком OWL, обеспечивающим разрешимость логического вывода.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SPARQL (SPARQL Protocol and RDF Query Language). </w:t>
      </w:r>
      <w:r>
        <w:rPr>
          <w:rFonts w:ascii="Times New Roman" w:hAnsi="Times New Roman"/>
          <w:sz w:val="28"/>
        </w:rPr>
        <w:t>язык запросов к RDF-хранилищам, аналог SQL для реляционных баз данных. Поддерживает SELECT (выборка данных), CONSTRUCT (построение нового графа), INSERT DATA и DELETE (обновление данных). Используется в разрабатываемой системе для всех операций чтения и записи данных об индивидуалах.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1.7.3. Apache Jena и Fuseki как инструментальная база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Apache Jena — это открытая Java-библиотека для работы с семантическими технологиями, разрабатываемая под эгидой Apache Software Foundation. Библиотека предоставляет программный интерфейс для создания и обработки RDF-графов, выполнения SPARQL-запросов, работы с онтологиями OWL.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Apache Jena Fuseki — это SPARQL-сервер, входящий в состав проекта Apache Jena. Он предоставляет HTTP-интерфейс для работы с RDF-хранилищами: эндпоинт для SELECT-запросов (/sparql) и эндпоинт для обновляющих запросов (/update). Веб-интерфейс Fuseki также позволяет загружать OWL/RDF-файлы, просматривать содержимое датасетов и тестировать SPARQL-запросы в интерактивном режиме.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Fuseki выбран в качестве хранилища онтологии по следующим причинам: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открытый исходный код и бесплатное использование (лицензия Apache 2.0);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нативная поддержка стандартов OWL, RDF, SPARQL без дополнительной настройки;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встроенная поддержка транзакционных обновлений через SPARQL UPDATE;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лёгкость развёртывания: запускается как самостоятельный JAR-файл без необходимости установки сервера приложений;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хорошая интеграция с библиотекой Apache Jena ARQ, используемой в серверной части системы.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1.7.4. Применение онтологий в образовательных информационных системах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Применение онтологических технологий в образовательном контексте является активно развивающимся направлением исследований. В работах Пальчунова Д.Е. и Чернявцевой С.И. описывается опыт разработки интеллектуального помощника для автоматизации документооборота кафедры на основе онтологических моделей, показывается возможность формализации структуры документов и связей между сущностями предметной области средствами OWL.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Ключевым преимуществом онтологического подхода в данном контексте является возможность единого описания как структуры данных (классы, свойства), так и бизнес-правил (ограничения, аксиомы), что позволяет динамически формировать формы ввода данных и проверять корректность вводимой информации без изменения программного кода. При добавлении нового типа документа достаточно расширить онтологию новыми классами и свойствами, а также добавить соответствующий DOCX-шаблон — все остальные компоненты системы адаптируются автоматически.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Таким образом, онтологическое моделирование предметной области кафедрального документооборота представляет собой теоретически обоснованный и практически апробированный подход, обеспечивающий необходимый уровень гибкости и расширяемости для разрабатываемой системы.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1.8. Управление бизнес-процессами и стандарт BPMN 2.0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1.8.1. Концепция BPM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Управление бизнес-процессами (Business Process Management, BPM) — это методология и совокупность программных инструментов для описания, исполнения, мониторинга и оптимизации процессов организации. В контексте документооборота BPM-подход позволяет формализовать последовательность действий при обработке документов, автоматизировать переходы между этапами и обеспечить контроль исполнения.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Применение BPM-платформы для реализации сервиса напоминаний студентам обусловлено следующими соображениями. Логика напоминаний представляет собой типичный долгоживущий процесс с таймерами: «отправить письмо → подождать N дней → проверить статус → повторить или завершить». Реализация такой логики непосредственно в коде приложения через планировщики приводит к сложно отлаживаемому и плохо визуализируемому коду. BPM-платформа предоставляет готовую инфраструктуру для персистентного хранения состояния процессов, поддержки таймеров и визуального мониторинга.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1.8.2. Стандарт BPMN 2.0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BPMN (Business Process Model and Notation) — графический стандарт описания бизнес-процессов, разработанный консорциумом OMG. Версия 2.0 является текущим стандартом и поддерживается большинством BPM-платформ. Нотация определяет следующие основные типы элементов: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События (Events). </w:t>
      </w:r>
      <w:r>
        <w:rPr>
          <w:rFonts w:ascii="Times New Roman" w:hAnsi="Times New Roman"/>
          <w:sz w:val="28"/>
        </w:rPr>
        <w:t>обозначают начало, конец или промежуточные точки процесса. Таймерные события позволяют задавать задержку или периодическое выполнение.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Задачи (Tasks). </w:t>
      </w:r>
      <w:r>
        <w:rPr>
          <w:rFonts w:ascii="Times New Roman" w:hAnsi="Times New Roman"/>
          <w:sz w:val="28"/>
        </w:rPr>
        <w:t>атомарные единицы работы: сервисные задачи (Service Task) выполняются программно, пользовательские (User Task) — вручную.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Шлюзы (Gateways). </w:t>
      </w:r>
      <w:r>
        <w:rPr>
          <w:rFonts w:ascii="Times New Roman" w:hAnsi="Times New Roman"/>
          <w:sz w:val="28"/>
        </w:rPr>
        <w:t>управляют ветвлением и слиянием потоков. Эксклюзивный шлюз (XOR) направляет поток по одному из условных путей.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Потоки управления. </w:t>
      </w:r>
      <w:r>
        <w:rPr>
          <w:rFonts w:ascii="Times New Roman" w:hAnsi="Times New Roman"/>
          <w:sz w:val="28"/>
        </w:rPr>
        <w:t>стрелки, соединяющие элементы и задающие порядок выполнения.</w:t>
      </w:r>
    </w:p>
    <w:p>
      <w:pPr>
        <w:spacing w:before="120" w:after="60" w:line="360" w:lineRule="exact"/>
        <w:jc w:val="both"/>
      </w:pPr>
      <w:r>
        <w:rPr>
          <w:rFonts w:ascii="Times New Roman" w:hAnsi="Times New Roman"/>
          <w:b/>
          <w:sz w:val="28"/>
        </w:rPr>
        <w:t>1.8.3. Camunda BPM Platform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Camunda — это открытая платформа управления бизнес-процессами и решений для автоматизации, разрабатываемая компанией Camunda Services GmbH. Сообщество активно использует версию Camunda 7 (Community Edition), которая распространяется под лицензией Apache 2.0 и интегрируется в Spring Boot-приложения через стартер camunda-bpm-spring-boot-starter.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Среди ключевых возможностей Camunda, использованных в разрабатываемой системе: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встроенный веб-интерфейс Camunda Cockpit для мониторинга запущенных экземпляров процессов и отладки;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поддержка таймерных событий с настраиваемыми интервалами в формате ISO 8601;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механизм JavaDelegate — интерфейс для реализации сервисных задач в виде Spring-бинов;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персистентное хранение состояния процессов в реляционной базе данных (PostgreSQL), что обеспечивает устойчивость к перезапускам сервиса;</w:t>
      </w:r>
    </w:p>
    <w:p>
      <w:pPr>
        <w:spacing w:line="360" w:lineRule="exact" w:after="0"/>
        <w:ind w:left="709"/>
      </w:pPr>
      <w:r>
        <w:rPr>
          <w:rFonts w:ascii="Times New Roman" w:hAnsi="Times New Roman"/>
          <w:sz w:val="28"/>
        </w:rPr>
        <w:t>— REST API для управления процессами из внешних систем.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Таким образом, применение Camunda BPM для реализации сервиса напоминаний обеспечивает наглядность процесса через графическую BPMN-диаграмму, надёжность за счёт персистентности состояния и удобство мониторинга через веб-интерфейс Cockpit.</w:t>
      </w:r>
    </w:p>
    <w:p>
      <w:pPr>
        <w:spacing w:after="0" w:line="360" w:lineRule="exact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/>
          <w:b w:val="0"/>
          <w:sz w:val="28"/>
        </w:rPr>
        <w:t>В данном разделе проведён сравнительный анализ существующих программных решений, показана их неприменимость для решения полного комплекса задач кафедрального документооборота, дано теоретическое обоснование использования онтологического моделирования и BPM-подхода в разрабатываемой системе. Совокупность рассмотренных технологических решений формирует теоретическую базу для проектирования и реализации системы, описываемых в последующих главах.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