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Requirements Table</w:t>
      </w:r>
    </w:p>
    <w:p>
      <w:pPr>
        <w:spacing w:after="200"/>
      </w:pPr>
      <w:r>
        <w:rPr>
          <w:i/>
          <w:iCs/>
          <w:sz w:val="22"/>
          <w:szCs w:val="22"/>
        </w:rPr>
        <w:t xml:space="preserve">Housekeeping Maintenance &amp; Issue Ticketing System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3600"/>
        <w:gridCol w:w="900"/>
        <w:gridCol w:w="3200"/>
        <w:gridCol w:w="2440"/>
      </w:tblGrid>
      <w:tr>
        <w:tc>
          <w:tcPr>
            <w:tcW w:type="dxa" w:w="900"/>
            <w:shd w:fill="2255AA" w:color="auto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1200"/>
            <w:shd w:fill="2255AA" w:color="auto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600"/>
            <w:shd w:fill="2255AA" w:color="auto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00"/>
            <w:shd w:fill="2255AA" w:color="auto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200"/>
            <w:shd w:fill="2255AA" w:color="auto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2440"/>
            <w:shd w:fill="2255AA" w:color="auto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FR-001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Functional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allow staff to raise a maintenance ticket by selecting an issue category, uploading photographic evidence, pinning the location on a campus map, and setting an urgency level.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Ticket created with unique ID, auto-assigned to relevant crew, acknowledgment sent within 2 minutes. Fail: Ticket created without category or location data.</w:t>
            </w:r>
          </w:p>
        </w:tc>
        <w:tc>
          <w:tcPr>
            <w:tcW w:type="dxa" w:w="24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Accurate, evidence-backed tickets reduce miscommunication and ensure the right crew is dispatched to the right location.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FR-002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Functional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automatically assign a maintenance ticket to the appropriate crew based on issue category, crew availability, and workload, and notify the assigned technician.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Ticket assigned to a technician with matching skill and available capacity within 30 seconds; technician notified. Fail: Ticket unassigned after 30 seconds or routed incorrectly.</w:t>
            </w:r>
          </w:p>
        </w:tc>
        <w:tc>
          <w:tcPr>
            <w:tcW w:type="dxa" w:w="24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Manual triage delays resolution; automated routing ensures faster response and balanced workloads.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FR-003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Functional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allow Maintenance Technicians and Housekeeping Staff to update ticket status (Acknowledged, In Progress, Resolved, Escalated) with optional notes and photo evidence.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Status change is timestamped, logged in ticket history, visible to the ticket raiser in real time. Fail: Update accepted without a timestamp or not reflected in history.</w:t>
            </w:r>
          </w:p>
        </w:tc>
        <w:tc>
          <w:tcPr>
            <w:tcW w:type="dxa" w:w="24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Transparent status tracking builds trust with staff and provides data for resolution-time auditing.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FR-004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Functional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allow the staff member who raised a ticket to rate service quality (1-5 stars) and leave optional feedback once the ticket is marked Resolved.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Rating prompt appears within 24 hours of resolution and is stored against the ticket record. Fail: Rating accepted before Resolved status or not linked to correct ticket ID.</w:t>
            </w:r>
          </w:p>
        </w:tc>
        <w:tc>
          <w:tcPr>
            <w:tcW w:type="dxa" w:w="24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Service quality ratings are essential for auditing crew performance and spotting recurring problem areas.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FR-005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Functional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allow Administrators to view a dashboard of all tickets filterable by building, category, status, priority, and date range, and to generate audit reports of resolution timelines and crew performance.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Filters return accurate results within 3 seconds; report exports as PDF/CSV. Fail: Filtered results include tickets outside criteria, or export fails/omits data.</w:t>
            </w:r>
          </w:p>
        </w:tc>
        <w:tc>
          <w:tcPr>
            <w:tcW w:type="dxa" w:w="24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Administrators need consolidated visibility to manage crews and produce compliance documentation.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NFR-001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Nonfunctional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ticket routing engine must auto-assign technicians within 30 seconds of submission and maintain an encrypted audit trail of all status transitions for compliance reporting.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Benchmarking tests confirm target latency and security standards under simulated peak load.</w:t>
            </w:r>
          </w:p>
        </w:tc>
        <w:tc>
          <w:tcPr>
            <w:tcW w:type="dxa" w:w="24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Timely assignment affects resolution speed; an encrypted, immutable audit trail is required for compliance and dispute resolution.</w:t>
            </w:r>
          </w:p>
        </w:tc>
      </w:tr>
      <w:tr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NFR-002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Nonfunctional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system shall be accessible via a mobile-responsive web interface with 99.5% uptime, and photo uploads must complete within 5 seconds on standard campus Wi-Fi.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Pass: Interface renders correctly on screens &gt;=360px wide; 30-day uptime monitoring shows &gt;=99.5% availability; uploads meet the 5-second target on a 5 Mbps connection.</w:t>
            </w:r>
          </w:p>
        </w:tc>
        <w:tc>
          <w:tcPr>
            <w:tcW w:type="dxa" w:w="244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Housekeeping and maintenance staff primarily use mobile devices in the field, so responsiveness and reliability are critical to adoption.</w:t>
            </w:r>
          </w:p>
        </w:tc>
      </w:tr>
    </w:tbl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2026-08-25T05:27:11.456Z</dcterms:created>
  <dcterms:modified xsi:type="dcterms:W3CDTF">2026-08-25T05:27:11.470Z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