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1A" w:rsidRPr="00845A3B" w:rsidRDefault="000D4C1A" w:rsidP="000D4C1A">
      <w:pPr>
        <w:rPr>
          <w:rFonts w:ascii="Roboto" w:hAnsi="Roboto"/>
          <w:color w:val="00A0D1"/>
          <w:sz w:val="34"/>
          <w:lang w:val="pt-PT"/>
        </w:rPr>
      </w:pPr>
      <w:r w:rsidRPr="00845A3B">
        <w:rPr>
          <w:rFonts w:ascii="Roboto" w:hAnsi="Roboto"/>
          <w:color w:val="00A0D1"/>
          <w:sz w:val="34"/>
          <w:lang w:val="pt-PT"/>
        </w:rPr>
        <w:t>Resumo Executivo</w:t>
      </w:r>
    </w:p>
    <w:p w:rsidR="000D4C1A" w:rsidRPr="00845A3B" w:rsidRDefault="000D4C1A" w:rsidP="00845A3B">
      <w:pPr>
        <w:jc w:val="both"/>
        <w:rPr>
          <w:rFonts w:ascii="Roboto" w:eastAsia="SimSun" w:hAnsi="Roboto"/>
          <w:color w:val="44546A" w:themeColor="text2"/>
          <w:sz w:val="20"/>
          <w:szCs w:val="20"/>
          <w:lang w:val="pt-PT"/>
        </w:rPr>
      </w:pP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A Lista de Áreas Protegidas das Nações Unidas a</w:t>
      </w:r>
      <w:r w:rsidR="009B5AF6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nalisa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periodicamente a 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rede global de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área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s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protegida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s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e destaca o progresso alcançado pelos países na expansão d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as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suas redes nacionais de áreas protegidas.</w:t>
      </w:r>
    </w:p>
    <w:p w:rsidR="000D4C1A" w:rsidRPr="00845A3B" w:rsidRDefault="000D4C1A" w:rsidP="00845A3B">
      <w:pPr>
        <w:jc w:val="both"/>
        <w:rPr>
          <w:rFonts w:ascii="Roboto" w:eastAsia="SimSun" w:hAnsi="Roboto"/>
          <w:color w:val="44546A" w:themeColor="text2"/>
          <w:sz w:val="20"/>
          <w:szCs w:val="20"/>
          <w:lang w:val="pt-PT"/>
        </w:rPr>
      </w:pP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A edição de 2018 é o décimo quinto lançamento desde a publicação da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primeira </w:t>
      </w:r>
      <w:r w:rsidR="00DA6AAD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lista 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em 1961-62, e </w:t>
      </w:r>
      <w:r w:rsidR="00A8418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revê o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progresso </w:t>
      </w:r>
      <w:r w:rsidR="00A8418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feito 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desde 2014. A lista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</w:t>
      </w:r>
      <w:r w:rsidR="00A8418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revela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que 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a rede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de área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s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protegida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s</w:t>
      </w:r>
      <w:r w:rsidR="00DA6AAD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global tem continuado a </w:t>
      </w:r>
      <w:r w:rsidR="00A8418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expan</w:t>
      </w:r>
      <w:r w:rsidR="00FB03B7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dir-se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desde 2014, tanto </w:t>
      </w:r>
      <w:r w:rsidR="00DA6AAD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no meio terrestre como no ambiente marinho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. De facto, </w:t>
      </w:r>
      <w:r w:rsidR="00DA6AAD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no meio marinho, </w:t>
      </w:r>
      <w:r w:rsidR="00A8418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a área total protegida quase duplicou 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desde 2014. </w:t>
      </w:r>
      <w:r w:rsidR="005F239F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Tal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deve-se em parte à designação</w:t>
      </w:r>
      <w:r w:rsidR="00C23835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, em várias regiões,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de áreas marinhas protegidas </w:t>
      </w:r>
      <w:r w:rsidR="00E86B2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de</w:t>
      </w:r>
      <w:r w:rsidR="005F239F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grande dimensão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.</w:t>
      </w:r>
    </w:p>
    <w:p w:rsidR="000D4C1A" w:rsidRPr="00845A3B" w:rsidRDefault="002E427C" w:rsidP="00845A3B">
      <w:pPr>
        <w:jc w:val="both"/>
        <w:rPr>
          <w:rFonts w:ascii="Roboto" w:eastAsia="SimSun" w:hAnsi="Roboto"/>
          <w:b/>
          <w:bCs/>
          <w:color w:val="44546A" w:themeColor="text2"/>
          <w:sz w:val="20"/>
          <w:szCs w:val="20"/>
          <w:lang w:val="pt-PT"/>
        </w:rPr>
      </w:pP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Apesar deste aumento ser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um importante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indicador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da determin</w:t>
      </w:r>
      <w:r w:rsidR="00C23835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ação </w:t>
      </w:r>
      <w:r w:rsidR="00E86B2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politica</w:t>
      </w:r>
      <w:r w:rsidR="00C23835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em cumprir a M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eta de Aichi 11, </w:t>
      </w:r>
      <w:r w:rsidR="00AB180B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abranger</w:t>
      </w:r>
      <w:r w:rsidR="00C23835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áreas maiores não 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será suficiente</w:t>
      </w:r>
      <w:r w:rsidR="00AB180B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, por si só,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para deter a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perda de biodiversidade. </w:t>
      </w:r>
      <w:r w:rsidR="000D4C1A" w:rsidRPr="00845A3B">
        <w:rPr>
          <w:rFonts w:ascii="Roboto" w:eastAsia="SimSun" w:hAnsi="Roboto"/>
          <w:b/>
          <w:bCs/>
          <w:color w:val="44546A" w:themeColor="text2"/>
          <w:sz w:val="20"/>
          <w:szCs w:val="20"/>
          <w:lang w:val="pt-PT"/>
        </w:rPr>
        <w:t xml:space="preserve">Por este motivo, este relatório tem um foco particular na eficácia da gestão das áreas protegidas. Esta é a primeira vez que a Lista das Nações Unidas inclui este </w:t>
      </w:r>
      <w:r w:rsidR="00AB180B" w:rsidRPr="00845A3B">
        <w:rPr>
          <w:rFonts w:ascii="Roboto" w:eastAsia="SimSun" w:hAnsi="Roboto"/>
          <w:b/>
          <w:bCs/>
          <w:color w:val="44546A" w:themeColor="text2"/>
          <w:sz w:val="20"/>
          <w:szCs w:val="20"/>
          <w:lang w:val="pt-PT"/>
        </w:rPr>
        <w:t>elemento como foco da</w:t>
      </w:r>
      <w:r w:rsidR="000D4C1A" w:rsidRPr="00845A3B">
        <w:rPr>
          <w:rFonts w:ascii="Roboto" w:eastAsia="SimSun" w:hAnsi="Roboto"/>
          <w:b/>
          <w:bCs/>
          <w:color w:val="44546A" w:themeColor="text2"/>
          <w:sz w:val="20"/>
          <w:szCs w:val="20"/>
          <w:lang w:val="pt-PT"/>
        </w:rPr>
        <w:t xml:space="preserve"> análise.</w:t>
      </w:r>
    </w:p>
    <w:p w:rsidR="000D4C1A" w:rsidRPr="00845A3B" w:rsidRDefault="002E427C" w:rsidP="00845A3B">
      <w:pPr>
        <w:jc w:val="both"/>
        <w:rPr>
          <w:rFonts w:ascii="Roboto" w:eastAsia="SimSun" w:hAnsi="Roboto"/>
          <w:color w:val="44546A" w:themeColor="text2"/>
          <w:sz w:val="20"/>
          <w:szCs w:val="20"/>
          <w:lang w:val="pt-PT"/>
        </w:rPr>
      </w:pP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A importância de compreender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a eficácia das áreas protegidas 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tem feito parte </w:t>
      </w:r>
      <w:r w:rsidR="00014D1E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das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discussões internacionais </w:t>
      </w:r>
      <w:r w:rsidR="00014D1E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há mais de 30 anos. 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A</w:t>
      </w:r>
      <w:r w:rsidR="00014D1E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tualmente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, um grande número de países realiza </w:t>
      </w:r>
      <w:r w:rsidR="00014D1E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avaliações da eficácia 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d</w:t>
      </w:r>
      <w:r w:rsidR="00014D1E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as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suas áreas protegidas</w:t>
      </w:r>
      <w:r w:rsidR="00014D1E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de forma sistemática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. No enta</w:t>
      </w:r>
      <w:r w:rsidR="00A10CAF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nto, a compilação de informação 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para a publicação desta edição da Lista das Nações Unidas revelou que </w:t>
      </w:r>
      <w:r w:rsidR="00A10CAF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este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é 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ainda </w:t>
      </w:r>
      <w:r w:rsidR="00A10CAF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um conceito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desconhecido em muitos países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,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e que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estão disponíveis poucas informações e orientação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sobre o uso 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de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diferentes ferram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entas para avaliar a eficácia da gestão das áreas protegidas</w:t>
      </w:r>
      <w:r w:rsidR="000D4C1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.</w:t>
      </w:r>
    </w:p>
    <w:p w:rsidR="00277899" w:rsidRPr="00845A3B" w:rsidRDefault="000D4C1A" w:rsidP="00845A3B">
      <w:pPr>
        <w:jc w:val="both"/>
        <w:rPr>
          <w:rFonts w:ascii="Roboto" w:eastAsia="SimSun" w:hAnsi="Roboto"/>
          <w:color w:val="44546A" w:themeColor="text2"/>
          <w:sz w:val="20"/>
          <w:szCs w:val="20"/>
          <w:lang w:val="pt-PT"/>
        </w:rPr>
      </w:pP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Mais de 230.000 áreas protegidas estão atualmente </w:t>
      </w:r>
      <w:r w:rsidR="007C7BF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registadas 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no Banco </w:t>
      </w:r>
      <w:r w:rsidR="00A10CAF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Mundial de Dados 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sobre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Áreas Protegidas. I</w:t>
      </w:r>
      <w:r w:rsidR="00A10CAF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nformação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</w:t>
      </w:r>
      <w:r w:rsidR="007C7BF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sobre a eficácia de</w:t>
      </w:r>
      <w:r w:rsidR="00A10CAF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gestão está disponível para 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menos de 1% destas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. </w:t>
      </w:r>
      <w:r w:rsidR="007C7BF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São necessário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s</w:t>
      </w:r>
      <w:r w:rsidR="007C7BF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, portanto, 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esforços adicionais para entender </w:t>
      </w:r>
      <w:r w:rsidR="007C7BF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quão eficaz é a gestão das áreas protegidas e para promover a adoção das difere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ntes ferramentas de avaliação</w:t>
      </w:r>
      <w:r w:rsidR="007C7BF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. 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Além disso, é necessário determinar como 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uma gestão eficaz d</w:t>
      </w:r>
      <w:r w:rsidR="00E86B2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as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área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s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protegida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s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se traduz na </w:t>
      </w:r>
      <w:r w:rsidR="007C7BF8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obtenção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de resultados positivos</w:t>
      </w:r>
      <w:r w:rsidR="00D26FF4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,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</w:t>
      </w:r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>tanto para a</w:t>
      </w:r>
      <w:bookmarkStart w:id="0" w:name="_GoBack"/>
      <w:bookmarkEnd w:id="0"/>
      <w:r w:rsidR="00316F5A"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natureza como para</w:t>
      </w:r>
      <w:r w:rsidRPr="00845A3B">
        <w:rPr>
          <w:rFonts w:ascii="Roboto" w:eastAsia="SimSun" w:hAnsi="Roboto"/>
          <w:color w:val="44546A" w:themeColor="text2"/>
          <w:sz w:val="20"/>
          <w:szCs w:val="20"/>
          <w:lang w:val="pt-PT"/>
        </w:rPr>
        <w:t xml:space="preserve"> as pessoas.</w:t>
      </w:r>
    </w:p>
    <w:sectPr w:rsidR="00277899" w:rsidRPr="00845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1A"/>
    <w:rsid w:val="00014D1E"/>
    <w:rsid w:val="000D4C1A"/>
    <w:rsid w:val="001B3A86"/>
    <w:rsid w:val="002E427C"/>
    <w:rsid w:val="00316F5A"/>
    <w:rsid w:val="00455E8E"/>
    <w:rsid w:val="005F239F"/>
    <w:rsid w:val="007C7BF8"/>
    <w:rsid w:val="00845A3B"/>
    <w:rsid w:val="009B5AF6"/>
    <w:rsid w:val="00A10CAF"/>
    <w:rsid w:val="00A84188"/>
    <w:rsid w:val="00AB180B"/>
    <w:rsid w:val="00C23835"/>
    <w:rsid w:val="00C71342"/>
    <w:rsid w:val="00D26FF4"/>
    <w:rsid w:val="00DA6AAD"/>
    <w:rsid w:val="00E86B2A"/>
    <w:rsid w:val="00F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2599B-DC43-46D3-A9D4-D37A5E22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Salvaterra</dc:creator>
  <cp:keywords/>
  <dc:description/>
  <cp:lastModifiedBy>Marine Deguignet</cp:lastModifiedBy>
  <cp:revision>2</cp:revision>
  <dcterms:created xsi:type="dcterms:W3CDTF">2018-11-20T15:25:00Z</dcterms:created>
  <dcterms:modified xsi:type="dcterms:W3CDTF">2018-11-20T15:25:00Z</dcterms:modified>
</cp:coreProperties>
</file>