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Hub Engineering Handbook</w:t>
      </w:r>
    </w:p>
    <w:p>
      <w:pPr>
        <w:pStyle w:val="Heading2"/>
      </w:pPr>
      <w:r>
        <w:t>06_UI_UX_DESIGN_SYSTEM</w:t>
      </w:r>
    </w:p>
    <w:p>
      <w:r>
        <w:t>Document ID: QH-006</w:t>
        <w:br/>
        <w:t>Version: 1.0 Draft</w:t>
        <w:br/>
        <w:t>Status: Draft</w:t>
        <w:br/>
      </w:r>
    </w:p>
    <w:p>
      <w:pPr>
        <w:pStyle w:val="Heading2"/>
      </w:pPr>
      <w:r>
        <w:t>Design Philosophy</w:t>
      </w:r>
    </w:p>
    <w:p>
      <w:r>
        <w:t>Quant Hub is an institutional-grade engineering platform. The UI prioritizes clarity, consistency, speed, precision, and low cognitive load.</w:t>
      </w:r>
    </w:p>
    <w:p>
      <w:pPr>
        <w:pStyle w:val="Heading2"/>
      </w:pPr>
      <w:r>
        <w:t>Core Principles</w:t>
      </w:r>
    </w:p>
    <w:p>
      <w:r>
        <w:t>Function before aesthetics.</w:t>
        <w:br/>
        <w:t>Consistency over novelty.</w:t>
        <w:br/>
        <w:t>Reusable components.</w:t>
        <w:br/>
        <w:t>Accessibility.</w:t>
        <w:br/>
        <w:t>Minimal friction.</w:t>
        <w:br/>
        <w:t>Predictable interactions.</w:t>
      </w:r>
    </w:p>
    <w:p>
      <w:pPr>
        <w:pStyle w:val="Heading2"/>
      </w:pPr>
      <w:r>
        <w:t>Visual Language</w:t>
      </w:r>
    </w:p>
    <w:p>
      <w:r>
        <w:t>Dark-first theme, optional light mode. Semantic colors: green=profit, red=risk, blue=information, amber=warning. Use typography hierarchy and spacing consistently.</w:t>
      </w:r>
    </w:p>
    <w:p>
      <w:pPr>
        <w:pStyle w:val="Heading2"/>
      </w:pPr>
      <w:r>
        <w:t>Layout</w:t>
      </w:r>
    </w:p>
    <w:p>
      <w:r>
        <w:t>Persistent sidebar, top command bar, central workspace, optional contextual panel, responsive grid, modular widgets.</w:t>
      </w:r>
    </w:p>
    <w:p>
      <w:pPr>
        <w:pStyle w:val="Heading2"/>
      </w:pPr>
      <w:r>
        <w:t>Components</w:t>
      </w:r>
    </w:p>
    <w:p>
      <w:r>
        <w:t>Standardize buttons, cards, tables, forms, dialogs, charts, tabs, notifications, badges, and sidebars. Every component should have a reusable implementation.</w:t>
      </w:r>
    </w:p>
    <w:p>
      <w:pPr>
        <w:pStyle w:val="Heading2"/>
      </w:pPr>
      <w:r>
        <w:t>Dashboards</w:t>
      </w:r>
    </w:p>
    <w:p>
      <w:r>
        <w:t>Support customizable widgets for portfolio, positions, orders, signals, watchlists, risk metrics, logs, and alerts.</w:t>
      </w:r>
    </w:p>
    <w:p>
      <w:pPr>
        <w:pStyle w:val="Heading2"/>
      </w:pPr>
      <w:r>
        <w:t>Data Visualization</w:t>
      </w:r>
    </w:p>
    <w:p>
      <w:r>
        <w:t>Prefer readable charts. Support TradingView integration. Consistent legends, tooltips, axis formatting, and efficient rendering for large datasets.</w:t>
      </w:r>
    </w:p>
    <w:p>
      <w:pPr>
        <w:pStyle w:val="Heading2"/>
      </w:pPr>
      <w:r>
        <w:t>Interaction Standards</w:t>
      </w:r>
    </w:p>
    <w:p>
      <w:r>
        <w:t>Clear primary actions, confirmation for destructive operations, loading/success/error states, keyboard shortcuts where appropriate.</w:t>
      </w:r>
    </w:p>
    <w:p>
      <w:pPr>
        <w:pStyle w:val="Heading2"/>
      </w:pPr>
      <w:r>
        <w:t>Accessibility</w:t>
      </w:r>
    </w:p>
    <w:p>
      <w:r>
        <w:t>Keyboard navigation, readable typography, adequate contrast, responsive layouts, meaningful labels.</w:t>
      </w:r>
    </w:p>
    <w:p>
      <w:pPr>
        <w:pStyle w:val="Heading2"/>
      </w:pPr>
      <w:r>
        <w:t>Future Direction</w:t>
      </w:r>
    </w:p>
    <w:p>
      <w:r>
        <w:t>Design system must scale to desktop, web, tablet, and future mobile interfaces while preserving a single visual identity.</w:t>
      </w:r>
    </w:p>
    <w:p>
      <w:pPr>
        <w:pStyle w:val="Heading2"/>
      </w:pPr>
      <w:r>
        <w:t>Closing</w:t>
      </w:r>
    </w:p>
    <w:p>
      <w:r>
        <w:t>The UI is part of the trading workflow. Every interface should reduce friction and improve decision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