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08_FRONTEND_ARCHITECTURE</w:t>
      </w:r>
    </w:p>
    <w:p>
      <w:r>
        <w:t>Document ID: QH-008</w:t>
        <w:br/>
        <w:t>Version: 1.0 Draft</w:t>
        <w:br/>
        <w:t>Status: Draft</w:t>
        <w:br/>
      </w:r>
    </w:p>
    <w:p>
      <w:pPr>
        <w:pStyle w:val="Heading2"/>
      </w:pPr>
      <w:r>
        <w:t>Purpose</w:t>
      </w:r>
    </w:p>
    <w:p>
      <w:r>
        <w:t>Define the architecture of the Quant Hub frontend, ensuring scalability, maintainability, performance, and a consistent user experience.</w:t>
      </w:r>
    </w:p>
    <w:p>
      <w:pPr>
        <w:pStyle w:val="Heading2"/>
      </w:pPr>
      <w:r>
        <w:t>Technology</w:t>
      </w:r>
    </w:p>
    <w:p>
      <w:r>
        <w:t>Next.js (App Router), React, TypeScript, Tailwind CSS, TanStack Query for server state, Zustand for lightweight client state, TradingView widgets where appropriate.</w:t>
      </w:r>
    </w:p>
    <w:p>
      <w:pPr>
        <w:pStyle w:val="Heading2"/>
      </w:pPr>
      <w:r>
        <w:t>Architecture</w:t>
      </w:r>
    </w:p>
    <w:p>
      <w:r>
        <w:t>Adopt feature-based organization. Separate presentation, business logic, hooks, services, and shared UI components. Keep UI components stateless whenever practical.</w:t>
      </w:r>
    </w:p>
    <w:p>
      <w:pPr>
        <w:pStyle w:val="Heading2"/>
      </w:pPr>
      <w:r>
        <w:t>Application Structure</w:t>
      </w:r>
    </w:p>
    <w:p>
      <w:r>
        <w:t>Root Layout → Authentication → Dashboard Shell → Feature Modules → Reusable Components. Features include Portfolio, Markets, Strategies, Risk, Research, Execution, Monitoring, Settings.</w:t>
      </w:r>
    </w:p>
    <w:p>
      <w:pPr>
        <w:pStyle w:val="Heading2"/>
      </w:pPr>
      <w:r>
        <w:t>Routing</w:t>
      </w:r>
    </w:p>
    <w:p>
      <w:r>
        <w:t>Use App Router with nested layouts. Protect authenticated routes. Keep public pages isolated from application modules.</w:t>
      </w:r>
    </w:p>
    <w:p>
      <w:pPr>
        <w:pStyle w:val="Heading2"/>
      </w:pPr>
      <w:r>
        <w:t>State Management</w:t>
      </w:r>
    </w:p>
    <w:p>
      <w:r>
        <w:t>Use server state caching for API data. Keep local UI state isolated. Avoid global state unless required.</w:t>
      </w:r>
    </w:p>
    <w:p>
      <w:pPr>
        <w:pStyle w:val="Heading2"/>
      </w:pPr>
      <w:r>
        <w:t>API Layer</w:t>
      </w:r>
    </w:p>
    <w:p>
      <w:r>
        <w:t>All backend communication passes through a centralized API client with typed request/response models, authentication handling, retry policies, and standardized error processing.</w:t>
      </w:r>
    </w:p>
    <w:p>
      <w:pPr>
        <w:pStyle w:val="Heading2"/>
      </w:pPr>
      <w:r>
        <w:t>Component Standards</w:t>
      </w:r>
    </w:p>
    <w:p>
      <w:r>
        <w:t>Reusable design-system components only. No duplicated UI implementations. Feature-specific components remain inside their feature directory.</w:t>
      </w:r>
    </w:p>
    <w:p>
      <w:pPr>
        <w:pStyle w:val="Heading2"/>
      </w:pPr>
      <w:r>
        <w:t>Performance</w:t>
      </w:r>
    </w:p>
    <w:p>
      <w:r>
        <w:t>Lazy load heavy modules. Virtualize large tables. Optimize bundle size. Memoize expensive rendering only when justified by profiling.</w:t>
      </w:r>
    </w:p>
    <w:p>
      <w:pPr>
        <w:pStyle w:val="Heading2"/>
      </w:pPr>
      <w:r>
        <w:t>Security</w:t>
      </w:r>
    </w:p>
    <w:p>
      <w:r>
        <w:t>Never expose secrets in the client. Validate all user input. Handle authentication tokens securely. Sanitize displayed data where appropriate.</w:t>
      </w:r>
    </w:p>
    <w:p>
      <w:pPr>
        <w:pStyle w:val="Heading2"/>
      </w:pPr>
      <w:r>
        <w:t>Testing</w:t>
      </w:r>
    </w:p>
    <w:p>
      <w:r>
        <w:t>Unit tests for components, integration tests for feature flows, end-to-end tests for critical user journeys.</w:t>
      </w:r>
    </w:p>
    <w:p>
      <w:pPr>
        <w:pStyle w:val="Heading2"/>
      </w:pPr>
      <w:r>
        <w:t>Accessibility</w:t>
      </w:r>
    </w:p>
    <w:p>
      <w:r>
        <w:t>Keyboard navigation, semantic HTML, ARIA where required, responsive layouts, sufficient color contrast.</w:t>
      </w:r>
    </w:p>
    <w:p>
      <w:pPr>
        <w:pStyle w:val="Heading2"/>
      </w:pPr>
      <w:r>
        <w:t>Closing</w:t>
      </w:r>
    </w:p>
    <w:p>
      <w:r>
        <w:t>The frontend shall provide an institutional-grade user experience while remaining modular, testable, and aligned with the Quant Hub design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