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9181F">
      <w:pPr>
        <w:pStyle w:val="2"/>
      </w:pPr>
      <w:r>
        <w:t>Quant Hub Engineering Handbook</w:t>
      </w:r>
    </w:p>
    <w:p w14:paraId="25A3E52F">
      <w:pPr>
        <w:pStyle w:val="3"/>
      </w:pPr>
      <w:r>
        <w:t>09_DATABASE_ARCHITECTURE</w:t>
      </w:r>
    </w:p>
    <w:p w14:paraId="481EF7C8">
      <w:r>
        <w:t>Document ID: QH-009</w:t>
      </w:r>
      <w:r>
        <w:br w:type="textWrapping"/>
      </w:r>
      <w:r>
        <w:t>Version: 1.0 Draft</w:t>
      </w:r>
      <w:r>
        <w:br w:type="textWrapping"/>
      </w:r>
      <w:r>
        <w:t>Status: Draft</w:t>
      </w:r>
      <w:r>
        <w:br w:type="textWrapping"/>
      </w:r>
      <w:r>
        <w:t>Purpose: Define the database architecture, data governance, schema strategy, and persistence standards for Quant Hub.</w:t>
      </w:r>
    </w:p>
    <w:p w14:paraId="144FA764">
      <w:pPr>
        <w:pStyle w:val="3"/>
      </w:pPr>
      <w:r>
        <w:t>Database Philosophy</w:t>
      </w:r>
    </w:p>
    <w:p w14:paraId="25427E00">
      <w:r>
        <w:t>Use PostgreSQL as the primary relational database with SQLAlchemy ORM and Alembic migrations. The schema must prioritize consistency, auditability, and long-term scalability.</w:t>
      </w:r>
    </w:p>
    <w:p w14:paraId="722694BB">
      <w:pPr>
        <w:pStyle w:val="3"/>
      </w:pPr>
      <w:r>
        <w:t>Architectural Principles</w:t>
      </w:r>
    </w:p>
    <w:p w14:paraId="45E7F193">
      <w:r>
        <w:t>Normalize operational data where practical. Use denormalized or materialized views only for performance-critical analytics. Every table must have a clearly defined owner and purpose.</w:t>
      </w:r>
    </w:p>
    <w:p w14:paraId="41343730">
      <w:pPr>
        <w:pStyle w:val="3"/>
      </w:pPr>
      <w:r>
        <w:t>Core Domains</w:t>
      </w:r>
    </w:p>
    <w:p w14:paraId="3232551A">
      <w:r>
        <w:t>Market Data</w:t>
      </w:r>
      <w:r>
        <w:br w:type="textWrapping"/>
      </w:r>
      <w:r>
        <w:t>Historical OHLCV</w:t>
      </w:r>
      <w:r>
        <w:br w:type="textWrapping"/>
      </w:r>
      <w:r>
        <w:t>Orders</w:t>
      </w:r>
      <w:r>
        <w:br w:type="textWrapping"/>
      </w:r>
      <w:r>
        <w:t>Executions</w:t>
      </w:r>
      <w:r>
        <w:br w:type="textWrapping"/>
      </w:r>
      <w:r>
        <w:t>Positions</w:t>
      </w:r>
      <w:r>
        <w:br w:type="textWrapping"/>
      </w:r>
      <w:r>
        <w:t>Portfolios</w:t>
      </w:r>
      <w:r>
        <w:br w:type="textWrapping"/>
      </w:r>
      <w:r>
        <w:t>Strategies</w:t>
      </w:r>
      <w:r>
        <w:br w:type="textWrapping"/>
      </w:r>
      <w:r>
        <w:t>Research</w:t>
      </w:r>
      <w:r>
        <w:br w:type="textWrapping"/>
      </w:r>
      <w:r>
        <w:t>Backtests</w:t>
      </w:r>
      <w:r>
        <w:br w:type="textWrapping"/>
      </w:r>
      <w:r>
        <w:t>Machine Learning</w:t>
      </w:r>
      <w:r>
        <w:br w:type="textWrapping"/>
      </w:r>
      <w:r>
        <w:t>Risk</w:t>
      </w:r>
      <w:r>
        <w:br w:type="textWrapping"/>
      </w:r>
      <w:r>
        <w:t>Notifications</w:t>
      </w:r>
      <w:r>
        <w:br w:type="textWrapping"/>
      </w:r>
      <w:r>
        <w:t>Audit Logs</w:t>
      </w:r>
      <w:r>
        <w:br w:type="textWrapping"/>
      </w:r>
      <w:r>
        <w:t>User Preferences</w:t>
      </w:r>
    </w:p>
    <w:p w14:paraId="1DFD6478">
      <w:pPr>
        <w:pStyle w:val="3"/>
      </w:pPr>
      <w:r>
        <w:t>Schema Organization</w:t>
      </w:r>
    </w:p>
    <w:p w14:paraId="7F660592">
      <w:r>
        <w:t>Separate schemas where appropriate (core, market_data, analytics, audit). Maintain clear ownership boundaries between domains.</w:t>
      </w:r>
    </w:p>
    <w:p w14:paraId="3F19873E">
      <w:pPr>
        <w:pStyle w:val="3"/>
      </w:pPr>
      <w:r>
        <w:t>Entity Standards</w:t>
      </w:r>
    </w:p>
    <w:p w14:paraId="7D9D6435">
      <w:r>
        <w:t>Every entity requires:</w:t>
      </w:r>
      <w:r>
        <w:br w:type="textWrapping"/>
      </w:r>
      <w:r>
        <w:t>- Primary key</w:t>
      </w:r>
      <w:r>
        <w:br w:type="textWrapping"/>
      </w:r>
      <w:r>
        <w:t>- Created/updated timestamps</w:t>
      </w:r>
      <w:r>
        <w:br w:type="textWrapping"/>
      </w:r>
      <w:r>
        <w:t>- Optional soft delete</w:t>
      </w:r>
      <w:r>
        <w:br w:type="textWrapping"/>
      </w:r>
      <w:r>
        <w:t>- Foreign-key integrity</w:t>
      </w:r>
      <w:r>
        <w:br w:type="textWrapping"/>
      </w:r>
      <w:r>
        <w:t>- Meaningful indexes</w:t>
      </w:r>
    </w:p>
    <w:p w14:paraId="7524CFF2">
      <w:pPr>
        <w:pStyle w:val="3"/>
      </w:pPr>
      <w:r>
        <w:t>Time-Series Data</w:t>
      </w:r>
    </w:p>
    <w:p w14:paraId="2E050DDD">
      <w:r>
        <w:t>Optimize historical market data for time-series workloads. Use partitioning or TimescaleDB in future versions if scale demands it.</w:t>
      </w:r>
    </w:p>
    <w:p w14:paraId="072A3E65">
      <w:pPr>
        <w:pStyle w:val="3"/>
      </w:pPr>
      <w:r>
        <w:t>Indexing Strategy</w:t>
      </w:r>
    </w:p>
    <w:p w14:paraId="4D99139C">
      <w:r>
        <w:t>Index frequently queried columns, timestamps, foreign keys, symbols, and strategy identifiers. Review indexes periodically to balance read and write performance.</w:t>
      </w:r>
    </w:p>
    <w:p w14:paraId="3E46DC4B">
      <w:pPr>
        <w:pStyle w:val="3"/>
      </w:pPr>
      <w:r>
        <w:t>Transactions</w:t>
      </w:r>
    </w:p>
    <w:p w14:paraId="768D4A7B">
      <w:r>
        <w:t>Critical trading operations must execute atomically. Never leave orders or portfolio updates in partially committed states.</w:t>
      </w:r>
    </w:p>
    <w:p w14:paraId="68FF0E3D">
      <w:pPr>
        <w:pStyle w:val="3"/>
      </w:pPr>
      <w:r>
        <w:t>Migration Strategy</w:t>
      </w:r>
    </w:p>
    <w:p w14:paraId="7FC341F9">
      <w:r>
        <w:t>All schema changes must be managed with Alembic. No manual production schema edits are permitted.</w:t>
      </w:r>
    </w:p>
    <w:p w14:paraId="57498B33">
      <w:pPr>
        <w:pStyle w:val="3"/>
      </w:pPr>
      <w:r>
        <w:t>Backup &amp; Recovery</w:t>
      </w:r>
    </w:p>
    <w:p w14:paraId="1558F34E">
      <w:r>
        <w:t>Automated scheduled backups, restoration testing, point-in-time recovery where supported, and documented recovery procedures.</w:t>
      </w:r>
    </w:p>
    <w:p w14:paraId="55C9E08E">
      <w:pPr>
        <w:pStyle w:val="3"/>
      </w:pPr>
      <w:r>
        <w:t>Security</w:t>
      </w:r>
    </w:p>
    <w:p w14:paraId="7B03A0D6">
      <w:r>
        <w:t>Least-privilege database accounts. Encrypt sensitive data where appropriate. Never store API secrets or plaintext credentials in application tables.</w:t>
      </w:r>
    </w:p>
    <w:p w14:paraId="00E14456">
      <w:pPr>
        <w:pStyle w:val="3"/>
      </w:pPr>
      <w:r>
        <w:t>Performance</w:t>
      </w:r>
    </w:p>
    <w:p w14:paraId="020CB15C">
      <w:r>
        <w:t>Monitor slow queries, use connection pooling, avoid N+1 query patterns, and optimize large analytical queries.</w:t>
      </w:r>
    </w:p>
    <w:p w14:paraId="5B25FFCA">
      <w:pPr>
        <w:pStyle w:val="3"/>
      </w:pPr>
      <w:r>
        <w:t>Future Evolution</w:t>
      </w:r>
    </w:p>
    <w:p w14:paraId="74E0F268">
      <w:r>
        <w:t>Prepare for read replicas, TimescaleDB, data warehousing, and distributed storage if future scale requires.</w:t>
      </w:r>
    </w:p>
    <w:p w14:paraId="1C56A04A">
      <w:pPr>
        <w:pStyle w:val="3"/>
      </w:pPr>
      <w:r>
        <w:t>Closing</w:t>
      </w:r>
    </w:p>
    <w:p w14:paraId="18AE7192">
      <w:r>
        <w:t>The database is the authoritative source of truth. Every persistence decision must favor integrity, traceability, and maintainability over short-term convenience.</w:t>
      </w:r>
    </w:p>
    <w:p w14:paraId="593DED46">
      <w:r>
        <w:rPr>
          <w:rFonts w:ascii="SimSun" w:hAnsi="SimSun" w:eastAsia="SimSun" w:cs="SimSun"/>
          <w:sz w:val="24"/>
          <w:szCs w:val="24"/>
        </w:rPr>
        <w:t>This document defines architectural requirements governing persistence, storage, integrity, relationships, and ownership. Physical schemas, indexes, storage optimization, and implementation-level database structures shall be designed during implementation while remaining fully compliant with this architecture.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101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300</Words>
  <Characters>2106</Characters>
  <Lines>0</Lines>
  <Paragraphs>0</Paragraphs>
  <TotalTime>0</TotalTime>
  <ScaleCrop>false</ScaleCrop>
  <LinksUpToDate>false</LinksUpToDate>
  <CharactersWithSpaces>2354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UmerAbbasi</cp:lastModifiedBy>
  <dcterms:modified xsi:type="dcterms:W3CDTF">2026-07-01T13:54:19Z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eyJoZGlkIjoiYTE4YjYwMGE3Y2JiMzcwNmU4NjAyNGJhZmEwZmEyMDIiLCJ1c2VySWQiOiIxOTI0MTQ4NTg2ODI2In0=</vt:lpwstr>
  </property>
  <property fmtid="{D5CDD505-2E9C-101B-9397-08002B2CF9AE}" pid="3" name="KSOProductBuildVer">
    <vt:lpwstr>1033-12.1.0.26880</vt:lpwstr>
  </property>
  <property fmtid="{D5CDD505-2E9C-101B-9397-08002B2CF9AE}" pid="4" name="ICV">
    <vt:lpwstr>F3381642EE0C4E318A2D3D2F160397FA_12</vt:lpwstr>
  </property>
</Properties>
</file>