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B2DBC">
      <w:pPr>
        <w:rPr>
          <w:rFonts w:hint="default"/>
        </w:rPr>
      </w:pPr>
      <w:r>
        <w:rPr>
          <w:rFonts w:hint="default"/>
        </w:rPr>
        <w:t>Create handbook/IMPLEMENTATION_PROGRAM.md.</w:t>
      </w:r>
    </w:p>
    <w:p w14:paraId="39A90101">
      <w:pPr>
        <w:rPr>
          <w:rFonts w:hint="default"/>
        </w:rPr>
      </w:pPr>
    </w:p>
    <w:p w14:paraId="19C7E968">
      <w:pPr>
        <w:rPr>
          <w:rFonts w:hint="default"/>
        </w:rPr>
      </w:pPr>
      <w:r>
        <w:rPr>
          <w:rFonts w:hint="default"/>
        </w:rPr>
        <w:t>This is not part of the Engineering Handbook itself and shall not redefine, modify, or extend any approved architecture. It is the official implementation execution plan for Quant Hub Engineering Handbook Version 1.0.</w:t>
      </w:r>
    </w:p>
    <w:p w14:paraId="77964A36">
      <w:pPr>
        <w:rPr>
          <w:rFonts w:hint="default"/>
        </w:rPr>
      </w:pPr>
    </w:p>
    <w:p w14:paraId="362D356C">
      <w:pPr>
        <w:rPr>
          <w:rFonts w:hint="default"/>
        </w:rPr>
      </w:pPr>
      <w:r>
        <w:rPr>
          <w:rFonts w:hint="default"/>
        </w:rPr>
        <w:t>The document shall convert the frozen architecture into a deterministic implementation program for engineering teams and AI coding agents.</w:t>
      </w:r>
    </w:p>
    <w:p w14:paraId="37C8331B">
      <w:pPr>
        <w:rPr>
          <w:rFonts w:hint="default"/>
        </w:rPr>
      </w:pPr>
    </w:p>
    <w:p w14:paraId="3008E243">
      <w:pPr>
        <w:rPr>
          <w:rFonts w:hint="default"/>
        </w:rPr>
      </w:pPr>
      <w:r>
        <w:rPr>
          <w:rFonts w:hint="default"/>
        </w:rPr>
        <w:t>Use all frozen handbook documents, architectural invariants, frozen decisions, terminology, traceability matrix, implementation readiness report, and audit artifacts as the authoritative source.</w:t>
      </w:r>
    </w:p>
    <w:p w14:paraId="58FBBFD1">
      <w:pPr>
        <w:rPr>
          <w:rFonts w:hint="default"/>
        </w:rPr>
      </w:pPr>
    </w:p>
    <w:p w14:paraId="7166BC99">
      <w:pPr>
        <w:rPr>
          <w:rFonts w:hint="default"/>
        </w:rPr>
      </w:pPr>
      <w:r>
        <w:rPr>
          <w:rFonts w:hint="default"/>
        </w:rPr>
        <w:t>The document shall include, at minimum:</w:t>
      </w:r>
    </w:p>
    <w:p w14:paraId="040FE01E">
      <w:pPr>
        <w:rPr>
          <w:rFonts w:hint="default"/>
        </w:rPr>
      </w:pPr>
    </w:p>
    <w:p w14:paraId="5CD399E9">
      <w:pPr>
        <w:rPr>
          <w:rFonts w:hint="default"/>
        </w:rPr>
      </w:pPr>
      <w:r>
        <w:rPr>
          <w:rFonts w:hint="default"/>
        </w:rPr>
        <w:t>1. Purpose</w:t>
      </w:r>
    </w:p>
    <w:p w14:paraId="6DB84A9B">
      <w:pPr>
        <w:rPr>
          <w:rFonts w:hint="default"/>
        </w:rPr>
      </w:pPr>
      <w:r>
        <w:rPr>
          <w:rFonts w:hint="default"/>
        </w:rPr>
        <w:t>2. Scope</w:t>
      </w:r>
    </w:p>
    <w:p w14:paraId="24BB2650">
      <w:pPr>
        <w:rPr>
          <w:rFonts w:hint="default"/>
        </w:rPr>
      </w:pPr>
      <w:r>
        <w:rPr>
          <w:rFonts w:hint="default"/>
        </w:rPr>
        <w:t>3. Guiding Principles</w:t>
      </w:r>
    </w:p>
    <w:p w14:paraId="3F20A7DE">
      <w:pPr>
        <w:rPr>
          <w:rFonts w:hint="default"/>
        </w:rPr>
      </w:pPr>
      <w:r>
        <w:rPr>
          <w:rFonts w:hint="default"/>
        </w:rPr>
        <w:t>4. Relationship to the Engineering Handbook</w:t>
      </w:r>
    </w:p>
    <w:p w14:paraId="2C587A37">
      <w:pPr>
        <w:rPr>
          <w:rFonts w:hint="default"/>
        </w:rPr>
      </w:pPr>
      <w:r>
        <w:rPr>
          <w:rFonts w:hint="default"/>
        </w:rPr>
        <w:t>5. Repository Bootstrap Order</w:t>
      </w:r>
    </w:p>
    <w:p w14:paraId="6527EB8F">
      <w:pPr>
        <w:rPr>
          <w:rFonts w:hint="default"/>
        </w:rPr>
      </w:pPr>
      <w:r>
        <w:rPr>
          <w:rFonts w:hint="default"/>
        </w:rPr>
        <w:t>6. Canonical Repository Structure</w:t>
      </w:r>
    </w:p>
    <w:p w14:paraId="54E6E1C3">
      <w:pPr>
        <w:rPr>
          <w:rFonts w:hint="default"/>
        </w:rPr>
      </w:pPr>
      <w:r>
        <w:rPr>
          <w:rFonts w:hint="default"/>
        </w:rPr>
        <w:t>7. Module Dependency Graph</w:t>
      </w:r>
    </w:p>
    <w:p w14:paraId="33B51C9D">
      <w:pPr>
        <w:rPr>
          <w:rFonts w:hint="default"/>
        </w:rPr>
      </w:pPr>
      <w:r>
        <w:rPr>
          <w:rFonts w:hint="default"/>
        </w:rPr>
        <w:t>8. Cross-Module Dependencies</w:t>
      </w:r>
    </w:p>
    <w:p w14:paraId="3567772D">
      <w:pPr>
        <w:rPr>
          <w:rFonts w:hint="default"/>
        </w:rPr>
      </w:pPr>
      <w:r>
        <w:rPr>
          <w:rFonts w:hint="default"/>
        </w:rPr>
        <w:t>9. Parallel Development Opportunities</w:t>
      </w:r>
    </w:p>
    <w:p w14:paraId="4552CD56">
      <w:pPr>
        <w:rPr>
          <w:rFonts w:hint="default"/>
        </w:rPr>
      </w:pPr>
      <w:r>
        <w:rPr>
          <w:rFonts w:hint="default"/>
        </w:rPr>
        <w:t>10. Sequential Implementation Constraints</w:t>
      </w:r>
    </w:p>
    <w:p w14:paraId="1FD28949">
      <w:pPr>
        <w:rPr>
          <w:rFonts w:hint="default"/>
        </w:rPr>
      </w:pPr>
      <w:r>
        <w:rPr>
          <w:rFonts w:hint="default"/>
        </w:rPr>
        <w:t>11. Phase 0 – Repository Foundation</w:t>
      </w:r>
    </w:p>
    <w:p w14:paraId="04911E86">
      <w:pPr>
        <w:rPr>
          <w:rFonts w:hint="default"/>
        </w:rPr>
      </w:pPr>
      <w:r>
        <w:rPr>
          <w:rFonts w:hint="default"/>
        </w:rPr>
        <w:t>12. Phase 1 – Core Infrastructure</w:t>
      </w:r>
    </w:p>
    <w:p w14:paraId="007C80E8">
      <w:pPr>
        <w:rPr>
          <w:rFonts w:hint="default"/>
        </w:rPr>
      </w:pPr>
      <w:r>
        <w:rPr>
          <w:rFonts w:hint="default"/>
        </w:rPr>
        <w:t>13. Phase 2 – Database Platform</w:t>
      </w:r>
    </w:p>
    <w:p w14:paraId="1A933B0C">
      <w:pPr>
        <w:rPr>
          <w:rFonts w:hint="default"/>
        </w:rPr>
      </w:pPr>
      <w:r>
        <w:rPr>
          <w:rFonts w:hint="default"/>
        </w:rPr>
        <w:t>14. Phase 3 – Data Engineering Platform</w:t>
      </w:r>
    </w:p>
    <w:p w14:paraId="4EBBDE57">
      <w:pPr>
        <w:rPr>
          <w:rFonts w:hint="default"/>
        </w:rPr>
      </w:pPr>
      <w:r>
        <w:rPr>
          <w:rFonts w:hint="default"/>
        </w:rPr>
        <w:t>15. Phase 4 – Machine Learning Platform</w:t>
      </w:r>
    </w:p>
    <w:p w14:paraId="0A7894FF">
      <w:pPr>
        <w:rPr>
          <w:rFonts w:hint="default"/>
        </w:rPr>
      </w:pPr>
      <w:r>
        <w:rPr>
          <w:rFonts w:hint="default"/>
        </w:rPr>
        <w:t>16. Phase 5 – Research Platform</w:t>
      </w:r>
    </w:p>
    <w:p w14:paraId="1D569852">
      <w:pPr>
        <w:rPr>
          <w:rFonts w:hint="default"/>
        </w:rPr>
      </w:pPr>
      <w:r>
        <w:rPr>
          <w:rFonts w:hint="default"/>
        </w:rPr>
        <w:t>17. Phase 6 – Trading Platform</w:t>
      </w:r>
    </w:p>
    <w:p w14:paraId="5386187D">
      <w:pPr>
        <w:rPr>
          <w:rFonts w:hint="default"/>
        </w:rPr>
      </w:pPr>
      <w:r>
        <w:rPr>
          <w:rFonts w:hint="default"/>
        </w:rPr>
        <w:t>18. Phase 7 – Portfolio Platform</w:t>
      </w:r>
    </w:p>
    <w:p w14:paraId="71E2EB62">
      <w:pPr>
        <w:rPr>
          <w:rFonts w:hint="default"/>
        </w:rPr>
      </w:pPr>
      <w:r>
        <w:rPr>
          <w:rFonts w:hint="default"/>
        </w:rPr>
        <w:t>19. Phase 8 – Strategy Integration (Lancaster)</w:t>
      </w:r>
    </w:p>
    <w:p w14:paraId="1F9A3672">
      <w:pPr>
        <w:rPr>
          <w:rFonts w:hint="default"/>
        </w:rPr>
      </w:pPr>
      <w:r>
        <w:rPr>
          <w:rFonts w:hint="default"/>
        </w:rPr>
        <w:t>20. Phase 9 – Frontend</w:t>
      </w:r>
    </w:p>
    <w:p w14:paraId="7A62D792">
      <w:pPr>
        <w:rPr>
          <w:rFonts w:hint="default"/>
        </w:rPr>
      </w:pPr>
      <w:r>
        <w:rPr>
          <w:rFonts w:hint="default"/>
        </w:rPr>
        <w:t>21. Phase 10 – Deployment</w:t>
      </w:r>
    </w:p>
    <w:p w14:paraId="6A5FE457">
      <w:pPr>
        <w:rPr>
          <w:rFonts w:hint="default"/>
        </w:rPr>
      </w:pPr>
      <w:r>
        <w:rPr>
          <w:rFonts w:hint="default"/>
        </w:rPr>
        <w:t>22. CI/CD Rollout Order</w:t>
      </w:r>
    </w:p>
    <w:p w14:paraId="4499CE4E">
      <w:pPr>
        <w:rPr>
          <w:rFonts w:hint="default"/>
        </w:rPr>
      </w:pPr>
      <w:r>
        <w:rPr>
          <w:rFonts w:hint="default"/>
        </w:rPr>
        <w:t>23. Infrastructure Provisioning Order</w:t>
      </w:r>
    </w:p>
    <w:p w14:paraId="0224C9B3">
      <w:pPr>
        <w:rPr>
          <w:rFonts w:hint="default"/>
        </w:rPr>
      </w:pPr>
      <w:r>
        <w:rPr>
          <w:rFonts w:hint="default"/>
        </w:rPr>
        <w:t>24. Database Migration Order</w:t>
      </w:r>
    </w:p>
    <w:p w14:paraId="1E116D9A">
      <w:pPr>
        <w:rPr>
          <w:rFonts w:hint="default"/>
        </w:rPr>
      </w:pPr>
      <w:r>
        <w:rPr>
          <w:rFonts w:hint="default"/>
        </w:rPr>
        <w:t>25. API Development Order</w:t>
      </w:r>
    </w:p>
    <w:p w14:paraId="39E87C6F">
      <w:pPr>
        <w:rPr>
          <w:rFonts w:hint="default"/>
        </w:rPr>
      </w:pPr>
      <w:r>
        <w:rPr>
          <w:rFonts w:hint="default"/>
        </w:rPr>
        <w:t>26. Event Bus Integration Order</w:t>
      </w:r>
    </w:p>
    <w:p w14:paraId="1B6D35A5">
      <w:pPr>
        <w:rPr>
          <w:rFonts w:hint="default"/>
        </w:rPr>
      </w:pPr>
      <w:r>
        <w:rPr>
          <w:rFonts w:hint="default"/>
        </w:rPr>
        <w:t>27. Testing Strategy by Phase</w:t>
      </w:r>
    </w:p>
    <w:p w14:paraId="18C11EA1">
      <w:pPr>
        <w:rPr>
          <w:rFonts w:hint="default"/>
        </w:rPr>
      </w:pPr>
      <w:r>
        <w:rPr>
          <w:rFonts w:hint="default"/>
        </w:rPr>
        <w:t>28. Integration Testing Gates</w:t>
      </w:r>
    </w:p>
    <w:p w14:paraId="000697AA">
      <w:pPr>
        <w:rPr>
          <w:rFonts w:hint="default"/>
        </w:rPr>
      </w:pPr>
      <w:r>
        <w:rPr>
          <w:rFonts w:hint="default"/>
        </w:rPr>
        <w:t>29. System Validation Gates</w:t>
      </w:r>
    </w:p>
    <w:p w14:paraId="276B283B">
      <w:pPr>
        <w:rPr>
          <w:rFonts w:hint="default"/>
        </w:rPr>
      </w:pPr>
      <w:r>
        <w:rPr>
          <w:rFonts w:hint="default"/>
        </w:rPr>
        <w:t>30. Production Readiness Checklist</w:t>
      </w:r>
    </w:p>
    <w:p w14:paraId="4CB5A47E">
      <w:pPr>
        <w:rPr>
          <w:rFonts w:hint="default"/>
        </w:rPr>
      </w:pPr>
      <w:r>
        <w:rPr>
          <w:rFonts w:hint="default"/>
        </w:rPr>
        <w:t>31. Definition of Done for every implementation phase</w:t>
      </w:r>
    </w:p>
    <w:p w14:paraId="695D4C5F">
      <w:pPr>
        <w:rPr>
          <w:rFonts w:hint="default"/>
        </w:rPr>
      </w:pPr>
      <w:r>
        <w:rPr>
          <w:rFonts w:hint="default"/>
        </w:rPr>
        <w:t>32. Risk Register for implementation</w:t>
      </w:r>
    </w:p>
    <w:p w14:paraId="710949ED">
      <w:pPr>
        <w:rPr>
          <w:rFonts w:hint="default"/>
        </w:rPr>
      </w:pPr>
      <w:r>
        <w:rPr>
          <w:rFonts w:hint="default"/>
        </w:rPr>
        <w:t>33. Rollback Strategy</w:t>
      </w:r>
    </w:p>
    <w:p w14:paraId="5C86BE7A">
      <w:pPr>
        <w:rPr>
          <w:rFonts w:hint="default"/>
        </w:rPr>
      </w:pPr>
      <w:r>
        <w:rPr>
          <w:rFonts w:hint="default"/>
        </w:rPr>
        <w:t>34. Change Management</w:t>
      </w:r>
    </w:p>
    <w:p w14:paraId="2CFD850A">
      <w:pPr>
        <w:rPr>
          <w:rFonts w:hint="default"/>
        </w:rPr>
      </w:pPr>
      <w:r>
        <w:rPr>
          <w:rFonts w:hint="default"/>
        </w:rPr>
        <w:t>35. Engineering Milestones</w:t>
      </w:r>
    </w:p>
    <w:p w14:paraId="26447BD3">
      <w:pPr>
        <w:rPr>
          <w:rFonts w:hint="default"/>
        </w:rPr>
      </w:pPr>
      <w:r>
        <w:rPr>
          <w:rFonts w:hint="default"/>
        </w:rPr>
        <w:t>36. Deliverables per Phase</w:t>
      </w:r>
    </w:p>
    <w:p w14:paraId="152EB241">
      <w:pPr>
        <w:rPr>
          <w:rFonts w:hint="default"/>
        </w:rPr>
      </w:pPr>
      <w:r>
        <w:rPr>
          <w:rFonts w:hint="default"/>
        </w:rPr>
        <w:t>37. Estimated dependency graph</w:t>
      </w:r>
    </w:p>
    <w:p w14:paraId="2C5090A1">
      <w:pPr>
        <w:rPr>
          <w:rFonts w:hint="default"/>
        </w:rPr>
      </w:pPr>
      <w:r>
        <w:rPr>
          <w:rFonts w:hint="default"/>
        </w:rPr>
        <w:t>38. Acceptance Criteria</w:t>
      </w:r>
    </w:p>
    <w:p w14:paraId="5C9C2F4A">
      <w:pPr>
        <w:rPr>
          <w:rFonts w:hint="default"/>
        </w:rPr>
      </w:pPr>
      <w:r>
        <w:rPr>
          <w:rFonts w:hint="default"/>
        </w:rPr>
        <w:t>39. Cross References</w:t>
      </w:r>
    </w:p>
    <w:p w14:paraId="77D5B83B">
      <w:pPr>
        <w:rPr>
          <w:rFonts w:hint="default"/>
        </w:rPr>
      </w:pPr>
      <w:r>
        <w:rPr>
          <w:rFonts w:hint="default"/>
        </w:rPr>
        <w:t>40. End of Document</w:t>
      </w:r>
    </w:p>
    <w:p w14:paraId="6FBCF6A3">
      <w:pPr>
        <w:rPr>
          <w:rFonts w:hint="default"/>
        </w:rPr>
      </w:pPr>
    </w:p>
    <w:p w14:paraId="5ED6715D">
      <w:pPr>
        <w:rPr>
          <w:rFonts w:hint="default"/>
        </w:rPr>
      </w:pPr>
      <w:r>
        <w:rPr>
          <w:rFonts w:hint="default"/>
        </w:rPr>
        <w:t>The implementation program shall never introduce new architecture. Every implementation task shall trace back to the certified handbook. Where technology choices remain intentionally deferred, reference the implementation readiness document rather than selecting a technology.</w:t>
      </w:r>
    </w:p>
    <w:p w14:paraId="59B28D9F">
      <w:pPr>
        <w:rPr>
          <w:rFonts w:hint="default"/>
        </w:rPr>
      </w:pPr>
    </w:p>
    <w:p w14:paraId="12276F52">
      <w:r>
        <w:rPr>
          <w:rFonts w:hint="default"/>
        </w:rPr>
        <w:t>Write in the same enterprise hedge-fund engineering style as the handbook. Output directly into handbook/IMPLEMENTATION_PROGRAM.md.</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746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2026-06-30T22:24:32Z</dcterms:created>
  <dc:creator>UNITECH</dc:creator>
  <cp:lastModifiedBy>UmerAbbasi</cp:lastModifiedBy>
  <dcterms:modified xsi:type="dcterms:W3CDTF">2026-06-30T22:26:38Z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eyJoZGlkIjoiYTE4YjYwMGE3Y2JiMzcwNmU4NjAyNGJhZmEwZmEyMDIiLCJ1c2VySWQiOiIxOTI0MTQ4NTg2ODI2In0=</vt:lpwstr>
  </property>
  <property fmtid="{D5CDD505-2E9C-101B-9397-08002B2CF9AE}" pid="4" name="ICV">
    <vt:lpwstr>121107466B5A48818A329A1F93F5A2D3_12</vt:lpwstr>
  </property>
</Properties>
</file>