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What’s one word you would change the spelling of?</w:t>
        <w:br w:type="textWrapping"/>
        <w:t xml:space="preserve">(e.g. marshmallow &gt; marshm</w:t>
      </w: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u w:val="single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llow)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Just make it one “there” no matter what. Part II: colonel &gt; kernel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government should not have an n. goverment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Lieutenant should be spelled leftenant or lootenant. Just choose one! Part II: February &gt; Febuary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jewellery &gt; jule-ree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exercise &gt; excersize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salmon should have no L. samon.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I think llama should only have one l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enough &gt; enuff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Wednesday &gt; Wensday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I wouldn’t change a thing 🥰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knee &gt; nee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the &gt; </w:t>
      </w: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ð</w:t>
      </w: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psycho &gt; syko or just drop the p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dolphin &gt; dolfin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handkerchief &gt; hankerchief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too many twos to count. Make them all to.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tortoise &gt; tortis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Mr. Sawchuck: ...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