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简历溯源与面试准备</w:t>
      </w:r>
    </w:p>
    <w:p>
      <w:pPr>
        <w:jc w:val="center"/>
      </w:pPr>
      <w:r>
        <w:rPr>
          <w:rFonts w:ascii="Microsoft YaHei" w:hAnsi="Microsoft YaHei" w:eastAsia="Microsoft YaHei"/>
          <w:b/>
          <w:color w:val="C00000"/>
          <w:sz w:val="20"/>
        </w:rPr>
        <w:t>仅供内部审阅，不对外投递</w:t>
      </w:r>
    </w:p>
    <w:p>
      <w:pPr>
        <w:spacing w:after="60" w:line="252" w:lineRule="auto"/>
      </w:pPr>
      <w:r>
        <w:rPr>
          <w:rFonts w:ascii="Microsoft YaHei" w:hAnsi="Microsoft YaHei" w:eastAsia="Microsoft YaHei"/>
          <w:i w:val="0"/>
          <w:sz w:val="19"/>
        </w:rPr>
        <w:t>目标岗位：________________    目标公司：________________    行业：________________</w:t>
      </w:r>
    </w:p>
    <w:p>
      <w:pPr>
        <w:spacing w:after="60" w:line="252" w:lineRule="auto"/>
      </w:pPr>
      <w:r>
        <w:rPr>
          <w:rFonts w:ascii="Microsoft YaHei" w:hAnsi="Microsoft YaHei" w:eastAsia="Microsoft YaHei"/>
          <w:i/>
          <w:sz w:val="19"/>
        </w:rPr>
        <w:t>使用说明：将每条关键简历表述与来源、原型、改写等级及面试风险对应记录。空白字段由生成流程填写。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E79"/>
          <w:sz w:val="24"/>
        </w:rPr>
        <w:t>一 目标分析</w:t>
      </w:r>
    </w:p>
    <w:p>
      <w:pPr>
        <w:spacing w:after="60" w:line="252" w:lineRule="auto"/>
      </w:pPr>
      <w:r>
        <w:rPr>
          <w:rFonts w:ascii="Microsoft YaHei" w:hAnsi="Microsoft YaHei" w:eastAsia="Microsoft YaHei"/>
          <w:i w:val="0"/>
          <w:sz w:val="19"/>
        </w:rPr>
        <w:t>JD核心要求：</w:t>
        <w:br/>
        <w:t>公司与行业适配：</w:t>
        <w:br/>
        <w:t>本次简历主线：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E79"/>
          <w:sz w:val="24"/>
        </w:rPr>
        <w:t>二 简历表述溯源台账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简历最终表述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来源与原型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JD/行业适配理由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面试风险与准备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before="180" w:after="60"/>
      </w:pPr>
      <w:r>
        <w:rPr>
          <w:rFonts w:ascii="Microsoft YaHei" w:hAnsi="Microsoft YaHei" w:eastAsia="Microsoft YaHei"/>
          <w:b/>
          <w:color w:val="1F4E79"/>
          <w:sz w:val="24"/>
        </w:rPr>
        <w:t>三 强化与编造内容清单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原型或缺失来源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新增/强化部分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面试口径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提交前处理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E79"/>
          <w:sz w:val="24"/>
        </w:rPr>
        <w:t>四 岗位专属面试准备</w:t>
      </w:r>
    </w:p>
    <w:p>
      <w:pPr>
        <w:spacing w:after="60" w:line="252" w:lineRule="auto"/>
      </w:pPr>
      <w:r>
        <w:rPr>
          <w:rFonts w:ascii="Microsoft YaHei" w:hAnsi="Microsoft YaHei" w:eastAsia="Microsoft YaHei"/>
          <w:i w:val="0"/>
          <w:sz w:val="19"/>
        </w:rPr>
        <w:t>问题1：</w:t>
        <w:br/>
        <w:t>追问原因：</w:t>
        <w:br/>
        <w:t>回答框架：</w:t>
        <w:br/>
        <w:t>可能追问：</w:t>
        <w:br/>
        <w:t>需要熟悉的数字、工具或文件：</w:t>
      </w:r>
    </w:p>
    <w:p>
      <w:pPr>
        <w:spacing w:after="60" w:line="252" w:lineRule="auto"/>
      </w:pPr>
      <w:r>
        <w:rPr>
          <w:rFonts w:ascii="Microsoft YaHei" w:hAnsi="Microsoft YaHei" w:eastAsia="Microsoft YaHei"/>
          <w:i w:val="0"/>
          <w:sz w:val="19"/>
        </w:rPr>
        <w:t>问题2：</w:t>
        <w:br/>
        <w:t>追问原因：</w:t>
        <w:br/>
        <w:t>回答框架：</w:t>
        <w:br/>
        <w:t>可能追问：</w:t>
        <w:br/>
        <w:t>需要熟悉的数字、工具或文件：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1F4E79"/>
          <w:sz w:val="24"/>
        </w:rPr>
        <w:t>五 提交前检查</w:t>
      </w:r>
    </w:p>
    <w:p>
      <w:pPr>
        <w:spacing w:after="60" w:line="252" w:lineRule="auto"/>
      </w:pPr>
      <w:r>
        <w:rPr>
          <w:rFonts w:ascii="Microsoft YaHei" w:hAnsi="Microsoft YaHei" w:eastAsia="Microsoft YaHei"/>
          <w:i w:val="0"/>
          <w:sz w:val="19"/>
        </w:rPr>
        <w:t>□ 已核对姓名、日期、公司、岗位、项目和数字</w:t>
        <w:br/>
        <w:t>□ 已理解所有强化或编造内容</w:t>
        <w:br/>
        <w:t>□ 已准备岗位专属追问</w:t>
        <w:br/>
        <w:t>□ 已确认Word页数、模板、照片和导出效果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