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bring judgment on the Egyptians? What effects did the plagues have on the Egyptians? (10-02, 10-03, 10-04, 10-05, 10-06, 10-07, 10-08, 10-10, 10-11, 10-12)</w:t>
      </w:r>
    </w:p>
    <w:p>
      <w:pPr>
        <w:pStyle w:val="Heading5"/>
      </w:pPr>
      <w:r>
        <w:t xml:space="preserve">How did Pharaoh respond throughout the time God sent the ten plagues?</w:t>
      </w:r>
    </w:p>
    <w:p>
      <w:pPr>
        <w:pStyle w:val="Heading5"/>
      </w:pPr>
      <w:r>
        <w:t xml:space="preserve">How was God acting on behalf of his people? (10-01, 10-02, 10-0??)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2023-05-24T00:26:22Z</dcterms:created>
  <dcterms:modified xsi:type="dcterms:W3CDTF">2023-05-24T00:26:22Z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