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p>
    <w:p>
      <w:pPr>
        <w:pStyle w:val="BodyText"/>
      </w:pPr>
      <w:r>
        <w:t xml:space="preserve">The Israelites marched through the sea on dry ground with a wall of water on either side of them.</w:t>
      </w:r>
    </w:p>
    <w:p>
      <w:pPr>
        <w:pStyle w:val="Heading9"/>
      </w:pPr>
      <w:r>
        <w:t xml:space="preserve">12-09</w:t>
      </w:r>
    </w:p>
    <w:p>
      <w:pPr>
        <w:pStyle w:val="FirstParagraph"/>
      </w:pP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2023-05-24T11:33:13Z</dcterms:created>
  <dcterms:modified xsi:type="dcterms:W3CDTF">2023-05-24T11:33:13Z</dcterms:modified>
</cp:coreProperties>
</file>

<file path=docProps/custom.xml><?xml version="1.0" encoding="utf-8"?>
<Properties xmlns="http://schemas.openxmlformats.org/officeDocument/2006/custom-properties" xmlns:vt="http://schemas.openxmlformats.org/officeDocument/2006/docPropsVTypes"/>
</file>