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John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John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John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John said he was not the Messiah, but the Messiah was coming after him.</w:t>
      </w:r>
    </w:p>
    <w:p>
      <w:pPr>
        <w:pStyle w:val="BodyText"/>
      </w:pPr>
      <w:r>
        <w:t xml:space="preserve">How did John describe himself in his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John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Jesus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God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John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Jesus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a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John ate wild honey and locusts. John wore clothes that were made from the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John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the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his relationship to Jesus? (24-05, 24-06, 24-07)</w:t>
      </w:r>
    </w:p>
    <w:p>
      <w:pPr>
        <w:pStyle w:val="FirstParagraph"/>
      </w:pPr>
      <w:r>
        <w:t xml:space="preserve">Humility: John knew that Jesus was very important. John did not consider himself worthy to even be Jesus’ slave. Jesus was so great that John did not consider himself important enough to untie Jesus’ sandals. When Jesus told John to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is fully God. There is one God who exists as three persons: God the Father, God the Son, and God the Holy Spirit. John heard the voice of God the Father. He saw Jesus, who is God’s Son. And, John saw the Holy Spirit descend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we believe about Jesus? What do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2023-06-07T22:14:29Z</dcterms:created>
  <dcterms:modified xsi:type="dcterms:W3CDTF">2023-06-07T22:14:29Z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