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use the story of the farmer to teach God’s word/truth? (33-01, 33-02, 33-05)</w:t>
      </w:r>
    </w:p>
    <w:p>
      <w:pPr>
        <w:pStyle w:val="Heading5"/>
      </w:pPr>
      <w:r>
        <w:t xml:space="preserve">What does the seed which fell on the path teach us about how some people respond to God’s word? (33-02, 33-06)</w:t>
      </w:r>
    </w:p>
    <w:p>
      <w:pPr>
        <w:pStyle w:val="Heading5"/>
      </w:pPr>
      <w:r>
        <w:t xml:space="preserve">What does the seed which fell on the rocky ground teach us about how some people respond to God’s word? (33-03, 33-07)</w:t>
      </w:r>
    </w:p>
    <w:p>
      <w:pPr>
        <w:pStyle w:val="Heading5"/>
      </w:pPr>
      <w:r>
        <w:t xml:space="preserve">What does the seed which fell on the thorny ground teach us about how some people respond to God’s word? (33-04, 33-08)</w:t>
      </w:r>
    </w:p>
    <w:p>
      <w:pPr>
        <w:pStyle w:val="Heading5"/>
      </w:pPr>
      <w:r>
        <w:t xml:space="preserve">What does the seed which fell on the good soil teach us about how some people respond to God’s word? (33-05, 33-09)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2023-05-24T00:26:27Z</dcterms:created>
  <dcterms:modified xsi:type="dcterms:W3CDTF">2023-05-24T00:26:27Z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