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of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he had the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would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asking the Jewish leaders whether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to say he was worthless. This was a way of showing contempt for someone. How would you express</w:t>
      </w:r>
      <w:r>
        <w:t xml:space="preserve"> </w:t>
      </w:r>
      <w:r>
        <w:rPr>
          <w:bCs/>
          <w:b/>
        </w:rPr>
        <w:t xml:space="preserve">spit on him</w:t>
      </w:r>
      <w:r>
        <w:t xml:space="preserve"> </w:t>
      </w:r>
      <w:r>
        <w:t xml:space="preserve">to mean they spit on Jesus, to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the servant girl’s statement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that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Peter spoke a curse on himself if he was lying. He stated that God should cause him harm if he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he feared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crown symbolized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evidence proving Jesus was guilty of wrongdoing. These things showed that Jesus was innocent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had done,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which is similar to God’s name. Jesus also said he would be seated next to God to rule and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2023-06-06T20:13:31Z</dcterms:created>
  <dcterms:modified xsi:type="dcterms:W3CDTF">2023-06-06T20:13:31Z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