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6752A" w14:textId="77777777" w:rsidR="00B6500F" w:rsidRDefault="00B6500F" w:rsidP="00B6500F">
      <w:pPr>
        <w:widowControl w:val="0"/>
        <w:autoSpaceDE w:val="0"/>
        <w:autoSpaceDN w:val="0"/>
        <w:adjustRightInd w:val="0"/>
        <w:jc w:val="both"/>
        <w:rPr>
          <w:rFonts w:ascii="Tahoma" w:hAnsi="Tahoma" w:cs="Tahoma"/>
          <w:color w:val="343434"/>
        </w:rPr>
      </w:pPr>
      <w:r w:rsidRPr="00547F9C">
        <w:rPr>
          <w:rFonts w:ascii="Tahoma" w:hAnsi="Tahoma" w:cs="Tahoma"/>
          <w:color w:val="343434"/>
        </w:rPr>
        <w:t>Hi</w:t>
      </w:r>
      <w:r w:rsidRPr="00547F9C">
        <w:rPr>
          <w:rFonts w:ascii="Tahoma" w:hAnsi="Tahoma" w:cs="Tahoma"/>
          <w:color w:val="1F1F1F"/>
        </w:rPr>
        <w:t> I hope all is well. Herewith enclosed you will find the resume</w:t>
      </w:r>
      <w:r>
        <w:rPr>
          <w:rFonts w:ascii="Tahoma" w:hAnsi="Tahoma" w:cs="Tahoma"/>
          <w:color w:val="1F1F1F"/>
        </w:rPr>
        <w:t>.</w:t>
      </w:r>
    </w:p>
    <w:p w14:paraId="3BD99ADC" w14:textId="77777777" w:rsidR="00B6500F" w:rsidRDefault="00B6500F" w:rsidP="00B6500F">
      <w:pPr>
        <w:widowControl w:val="0"/>
        <w:autoSpaceDE w:val="0"/>
        <w:autoSpaceDN w:val="0"/>
        <w:adjustRightInd w:val="0"/>
        <w:jc w:val="both"/>
        <w:rPr>
          <w:rFonts w:ascii="Tahoma" w:hAnsi="Tahoma" w:cs="Tahoma"/>
          <w:color w:val="343434"/>
        </w:rPr>
      </w:pPr>
    </w:p>
    <w:p w14:paraId="2616B228" w14:textId="6CDA0A4C" w:rsidR="00B6500F" w:rsidRPr="00547F9C" w:rsidRDefault="00B6500F" w:rsidP="00B6500F">
      <w:pPr>
        <w:widowControl w:val="0"/>
        <w:autoSpaceDE w:val="0"/>
        <w:autoSpaceDN w:val="0"/>
        <w:adjustRightInd w:val="0"/>
        <w:jc w:val="both"/>
        <w:rPr>
          <w:rFonts w:ascii="Tahoma" w:hAnsi="Tahoma" w:cs="Tahoma"/>
          <w:b/>
          <w:color w:val="343434"/>
        </w:rPr>
      </w:pPr>
      <w:r w:rsidRPr="00547F9C">
        <w:rPr>
          <w:rFonts w:ascii="Tahoma" w:hAnsi="Tahoma" w:cs="Tahoma"/>
          <w:b/>
          <w:color w:val="1F1F1F"/>
        </w:rPr>
        <w:t xml:space="preserve">I have more than 14 years of accounting experience and significant </w:t>
      </w:r>
      <w:r w:rsidR="00617D68" w:rsidRPr="00617D68">
        <w:rPr>
          <w:rFonts w:ascii="Tahoma" w:hAnsi="Tahoma" w:cs="Tahoma"/>
          <w:b/>
          <w:color w:val="1F1F1F"/>
          <w:u w:val="single"/>
        </w:rPr>
        <w:t>IPO,</w:t>
      </w:r>
      <w:r w:rsidR="00617D68">
        <w:rPr>
          <w:rFonts w:ascii="Tahoma" w:hAnsi="Tahoma" w:cs="Tahoma"/>
          <w:b/>
          <w:color w:val="1F1F1F"/>
        </w:rPr>
        <w:t xml:space="preserve"> </w:t>
      </w:r>
      <w:r w:rsidRPr="00547F9C">
        <w:rPr>
          <w:rFonts w:ascii="Tahoma" w:hAnsi="Tahoma" w:cs="Tahoma"/>
          <w:b/>
          <w:color w:val="1F1F1F"/>
          <w:u w:val="single"/>
        </w:rPr>
        <w:t>SEC reporting, US GAAP, IFRS, SOX/404/internal control</w:t>
      </w:r>
      <w:r>
        <w:rPr>
          <w:rFonts w:ascii="Tahoma" w:hAnsi="Tahoma" w:cs="Tahoma"/>
          <w:b/>
          <w:color w:val="1F1F1F"/>
          <w:u w:val="single"/>
        </w:rPr>
        <w:t>, budget and financial planning</w:t>
      </w:r>
      <w:r w:rsidRPr="00547F9C">
        <w:rPr>
          <w:rFonts w:ascii="Tahoma" w:hAnsi="Tahoma" w:cs="Tahoma"/>
          <w:b/>
          <w:color w:val="1F1F1F"/>
          <w:u w:val="single"/>
        </w:rPr>
        <w:t xml:space="preserve"> experience</w:t>
      </w:r>
      <w:r w:rsidRPr="00547F9C">
        <w:rPr>
          <w:rFonts w:ascii="Tahoma" w:hAnsi="Tahoma" w:cs="Tahoma"/>
          <w:b/>
          <w:color w:val="1F1F1F"/>
        </w:rPr>
        <w:t>. I worked in Big 4</w:t>
      </w:r>
      <w:r>
        <w:rPr>
          <w:rFonts w:ascii="Tahoma" w:hAnsi="Tahoma" w:cs="Tahoma"/>
          <w:b/>
          <w:color w:val="1F1F1F"/>
        </w:rPr>
        <w:t xml:space="preserve"> Audit firms</w:t>
      </w:r>
      <w:r w:rsidRPr="00547F9C">
        <w:rPr>
          <w:rFonts w:ascii="Tahoma" w:hAnsi="Tahoma" w:cs="Tahoma"/>
          <w:b/>
          <w:color w:val="1F1F1F"/>
        </w:rPr>
        <w:t xml:space="preserve"> for </w:t>
      </w:r>
      <w:r w:rsidR="00617D68">
        <w:rPr>
          <w:rFonts w:ascii="Tahoma" w:hAnsi="Tahoma" w:cs="Tahoma"/>
          <w:b/>
          <w:color w:val="1F1F1F"/>
        </w:rPr>
        <w:t xml:space="preserve">approximately </w:t>
      </w:r>
      <w:r>
        <w:rPr>
          <w:rFonts w:ascii="Tahoma" w:hAnsi="Tahoma" w:cs="Tahoma"/>
          <w:b/>
          <w:color w:val="1F1F1F"/>
        </w:rPr>
        <w:t>5 years in</w:t>
      </w:r>
      <w:r w:rsidRPr="00547F9C">
        <w:rPr>
          <w:rFonts w:ascii="Tahoma" w:hAnsi="Tahoma" w:cs="Tahoma"/>
          <w:b/>
          <w:color w:val="1F1F1F"/>
        </w:rPr>
        <w:t xml:space="preserve"> </w:t>
      </w:r>
      <w:r>
        <w:rPr>
          <w:rFonts w:ascii="Tahoma" w:hAnsi="Tahoma" w:cs="Tahoma"/>
          <w:b/>
          <w:color w:val="1F1F1F"/>
        </w:rPr>
        <w:t>New York (Manhattan office) and for</w:t>
      </w:r>
      <w:r w:rsidR="00617D68">
        <w:rPr>
          <w:rFonts w:ascii="Tahoma" w:hAnsi="Tahoma" w:cs="Tahoma"/>
          <w:b/>
          <w:color w:val="1F1F1F"/>
        </w:rPr>
        <w:t xml:space="preserve"> approximately</w:t>
      </w:r>
      <w:r>
        <w:rPr>
          <w:rFonts w:ascii="Tahoma" w:hAnsi="Tahoma" w:cs="Tahoma"/>
          <w:b/>
          <w:color w:val="1F1F1F"/>
        </w:rPr>
        <w:t xml:space="preserve"> 5 years in Milano. </w:t>
      </w:r>
      <w:r w:rsidRPr="00547F9C">
        <w:rPr>
          <w:rFonts w:ascii="Tahoma" w:hAnsi="Tahoma" w:cs="Tahoma"/>
          <w:b/>
          <w:color w:val="1F1F1F"/>
          <w:u w:val="single"/>
        </w:rPr>
        <w:t xml:space="preserve">After my audit experience I worked as CFO and director of finance for companies belonging to public Groups for </w:t>
      </w:r>
      <w:r>
        <w:rPr>
          <w:rFonts w:ascii="Tahoma" w:hAnsi="Tahoma" w:cs="Tahoma"/>
          <w:b/>
          <w:color w:val="1F1F1F"/>
          <w:u w:val="single"/>
        </w:rPr>
        <w:t>4 years</w:t>
      </w:r>
      <w:r w:rsidRPr="00547F9C">
        <w:rPr>
          <w:rFonts w:ascii="Tahoma" w:hAnsi="Tahoma" w:cs="Tahoma"/>
          <w:b/>
          <w:color w:val="1F1F1F"/>
          <w:u w:val="single"/>
        </w:rPr>
        <w:t xml:space="preserve"> in New York.</w:t>
      </w:r>
      <w:r w:rsidRPr="00547F9C">
        <w:rPr>
          <w:rFonts w:ascii="Tahoma" w:hAnsi="Tahoma" w:cs="Tahoma"/>
          <w:b/>
          <w:color w:val="343434"/>
        </w:rPr>
        <w:t xml:space="preserve"> </w:t>
      </w:r>
      <w:r w:rsidRPr="00547F9C">
        <w:rPr>
          <w:rFonts w:ascii="Tahoma" w:hAnsi="Tahoma" w:cs="Tahoma"/>
          <w:b/>
          <w:color w:val="1F1F1F"/>
        </w:rPr>
        <w:t xml:space="preserve">I have </w:t>
      </w:r>
      <w:proofErr w:type="gramStart"/>
      <w:r w:rsidRPr="00547F9C">
        <w:rPr>
          <w:rFonts w:ascii="Tahoma" w:hAnsi="Tahoma" w:cs="Tahoma"/>
          <w:b/>
          <w:color w:val="1F1F1F"/>
        </w:rPr>
        <w:t>a Bachelor</w:t>
      </w:r>
      <w:proofErr w:type="gramEnd"/>
      <w:r w:rsidRPr="00547F9C">
        <w:rPr>
          <w:rFonts w:ascii="Tahoma" w:hAnsi="Tahoma" w:cs="Tahoma"/>
          <w:b/>
          <w:color w:val="1F1F1F"/>
        </w:rPr>
        <w:t xml:space="preserve">/ master’s degrees in business and economics, I am a </w:t>
      </w:r>
      <w:r w:rsidRPr="00547F9C">
        <w:rPr>
          <w:rFonts w:ascii="Tahoma" w:hAnsi="Tahoma" w:cs="Tahoma"/>
          <w:b/>
          <w:color w:val="1F1F1F"/>
          <w:u w:val="single"/>
        </w:rPr>
        <w:t>US CPA (Certified Public Accountant)</w:t>
      </w:r>
      <w:r w:rsidRPr="00547F9C">
        <w:rPr>
          <w:rFonts w:ascii="Tahoma" w:hAnsi="Tahoma" w:cs="Tahoma"/>
          <w:b/>
          <w:color w:val="1F1F1F"/>
        </w:rPr>
        <w:t xml:space="preserve"> and </w:t>
      </w:r>
      <w:r w:rsidRPr="00547F9C">
        <w:rPr>
          <w:rFonts w:ascii="Tahoma" w:hAnsi="Tahoma" w:cs="Tahoma"/>
          <w:b/>
          <w:color w:val="1F1F1F"/>
          <w:u w:val="single"/>
        </w:rPr>
        <w:t>CIA (Certified Internal Auditor)</w:t>
      </w:r>
      <w:r w:rsidRPr="00547F9C">
        <w:rPr>
          <w:rFonts w:ascii="Tahoma" w:hAnsi="Tahoma" w:cs="Tahoma"/>
          <w:b/>
          <w:color w:val="1F1F1F"/>
        </w:rPr>
        <w:t xml:space="preserve">. </w:t>
      </w:r>
      <w:proofErr w:type="gramStart"/>
      <w:r w:rsidRPr="00547F9C">
        <w:rPr>
          <w:rFonts w:ascii="Tahoma" w:hAnsi="Tahoma" w:cs="Tahoma"/>
          <w:b/>
          <w:color w:val="1F1F1F"/>
          <w:u w:val="single"/>
        </w:rPr>
        <w:t>Mother-tongue</w:t>
      </w:r>
      <w:proofErr w:type="gramEnd"/>
      <w:r w:rsidRPr="00547F9C">
        <w:rPr>
          <w:rFonts w:ascii="Tahoma" w:hAnsi="Tahoma" w:cs="Tahoma"/>
          <w:b/>
          <w:color w:val="1F1F1F"/>
          <w:u w:val="single"/>
        </w:rPr>
        <w:t xml:space="preserve"> is Italian I am fluent in English, German</w:t>
      </w:r>
      <w:r w:rsidRPr="00547F9C">
        <w:rPr>
          <w:rFonts w:ascii="Tahoma" w:hAnsi="Tahoma" w:cs="Tahoma"/>
          <w:b/>
          <w:color w:val="1F1F1F"/>
        </w:rPr>
        <w:t xml:space="preserve">. I have been speaking German since I was 5 years old. </w:t>
      </w:r>
    </w:p>
    <w:p w14:paraId="4FBD5FE7" w14:textId="77777777" w:rsidR="00B6500F" w:rsidRDefault="00B6500F" w:rsidP="00B6500F">
      <w:pPr>
        <w:widowControl w:val="0"/>
        <w:autoSpaceDE w:val="0"/>
        <w:autoSpaceDN w:val="0"/>
        <w:adjustRightInd w:val="0"/>
        <w:jc w:val="both"/>
        <w:rPr>
          <w:rFonts w:ascii="Tahoma" w:hAnsi="Tahoma" w:cs="Tahoma"/>
          <w:color w:val="1F1F1F"/>
        </w:rPr>
      </w:pPr>
    </w:p>
    <w:p w14:paraId="097F9A68" w14:textId="77777777" w:rsidR="00865881" w:rsidRPr="00547F9C" w:rsidRDefault="00865881" w:rsidP="00865881">
      <w:pPr>
        <w:widowControl w:val="0"/>
        <w:autoSpaceDE w:val="0"/>
        <w:autoSpaceDN w:val="0"/>
        <w:adjustRightInd w:val="0"/>
        <w:jc w:val="both"/>
        <w:rPr>
          <w:rFonts w:ascii="Tahoma" w:hAnsi="Tahoma" w:cs="Tahoma"/>
          <w:color w:val="1F1F1F"/>
        </w:rPr>
      </w:pPr>
      <w:r w:rsidRPr="00547F9C">
        <w:rPr>
          <w:rFonts w:ascii="Tahoma" w:hAnsi="Tahoma" w:cs="Tahoma"/>
          <w:bCs/>
          <w:color w:val="1F1F1F"/>
        </w:rPr>
        <w:t xml:space="preserve">Furthermore I have significant </w:t>
      </w:r>
      <w:r w:rsidRPr="00D937FC">
        <w:rPr>
          <w:rFonts w:ascii="Tahoma" w:hAnsi="Tahoma" w:cs="Tahoma"/>
          <w:b/>
          <w:bCs/>
          <w:color w:val="1F1F1F"/>
          <w:u w:val="single"/>
        </w:rPr>
        <w:t>financial reporting</w:t>
      </w:r>
      <w:r>
        <w:rPr>
          <w:rFonts w:ascii="Tahoma" w:hAnsi="Tahoma" w:cs="Tahoma"/>
          <w:b/>
          <w:bCs/>
          <w:color w:val="1F1F1F"/>
          <w:u w:val="single"/>
        </w:rPr>
        <w:t>/budgeting and financial planning</w:t>
      </w:r>
      <w:r w:rsidRPr="00D937FC">
        <w:rPr>
          <w:rFonts w:ascii="Tahoma" w:hAnsi="Tahoma" w:cs="Tahoma"/>
          <w:b/>
          <w:bCs/>
          <w:color w:val="1F1F1F"/>
          <w:u w:val="single"/>
        </w:rPr>
        <w:t xml:space="preserve"> experience</w:t>
      </w:r>
      <w:r w:rsidRPr="00547F9C">
        <w:rPr>
          <w:rFonts w:ascii="Tahoma" w:hAnsi="Tahoma" w:cs="Tahoma"/>
          <w:bCs/>
          <w:color w:val="1F1F1F"/>
        </w:rPr>
        <w:t xml:space="preserve"> (CFO of </w:t>
      </w:r>
      <w:proofErr w:type="spellStart"/>
      <w:r w:rsidRPr="00547F9C">
        <w:rPr>
          <w:rFonts w:ascii="Tahoma" w:hAnsi="Tahoma" w:cs="Tahoma"/>
          <w:bCs/>
          <w:color w:val="1F1F1F"/>
        </w:rPr>
        <w:t>Brunello</w:t>
      </w:r>
      <w:proofErr w:type="spellEnd"/>
      <w:r w:rsidRPr="00547F9C">
        <w:rPr>
          <w:rFonts w:ascii="Tahoma" w:hAnsi="Tahoma" w:cs="Tahoma"/>
          <w:bCs/>
          <w:color w:val="1F1F1F"/>
        </w:rPr>
        <w:t xml:space="preserve"> </w:t>
      </w:r>
      <w:proofErr w:type="spellStart"/>
      <w:r w:rsidRPr="00547F9C">
        <w:rPr>
          <w:rFonts w:ascii="Tahoma" w:hAnsi="Tahoma" w:cs="Tahoma"/>
          <w:bCs/>
          <w:color w:val="1F1F1F"/>
        </w:rPr>
        <w:t>Cucinelli</w:t>
      </w:r>
      <w:proofErr w:type="spellEnd"/>
      <w:r w:rsidRPr="00547F9C">
        <w:rPr>
          <w:rFonts w:ascii="Tahoma" w:hAnsi="Tahoma" w:cs="Tahoma"/>
          <w:bCs/>
          <w:color w:val="1F1F1F"/>
        </w:rPr>
        <w:t xml:space="preserve"> – wholesale/retail company in the US and director of financial reporting of HMX GROUP, a holding company that owns the brands Hickey Freeman, Hart </w:t>
      </w:r>
      <w:proofErr w:type="spellStart"/>
      <w:r w:rsidRPr="00547F9C">
        <w:rPr>
          <w:rFonts w:ascii="Tahoma" w:hAnsi="Tahoma" w:cs="Tahoma"/>
          <w:bCs/>
          <w:color w:val="1F1F1F"/>
        </w:rPr>
        <w:t>Schaffner</w:t>
      </w:r>
      <w:proofErr w:type="spellEnd"/>
      <w:r w:rsidRPr="00547F9C">
        <w:rPr>
          <w:rFonts w:ascii="Tahoma" w:hAnsi="Tahoma" w:cs="Tahoma"/>
          <w:bCs/>
          <w:color w:val="1F1F1F"/>
        </w:rPr>
        <w:t xml:space="preserve"> Marx). Please note that </w:t>
      </w:r>
      <w:proofErr w:type="spellStart"/>
      <w:r w:rsidRPr="00547F9C">
        <w:rPr>
          <w:rFonts w:ascii="Tahoma" w:hAnsi="Tahoma" w:cs="Tahoma"/>
          <w:bCs/>
          <w:color w:val="1F1F1F"/>
        </w:rPr>
        <w:t>Brunello</w:t>
      </w:r>
      <w:proofErr w:type="spellEnd"/>
      <w:r w:rsidRPr="00547F9C">
        <w:rPr>
          <w:rFonts w:ascii="Tahoma" w:hAnsi="Tahoma" w:cs="Tahoma"/>
          <w:bCs/>
          <w:color w:val="1F1F1F"/>
        </w:rPr>
        <w:t xml:space="preserve"> </w:t>
      </w:r>
      <w:proofErr w:type="spellStart"/>
      <w:r w:rsidRPr="00547F9C">
        <w:rPr>
          <w:rFonts w:ascii="Tahoma" w:hAnsi="Tahoma" w:cs="Tahoma"/>
          <w:bCs/>
          <w:color w:val="1F1F1F"/>
        </w:rPr>
        <w:t>Cucinelli</w:t>
      </w:r>
      <w:proofErr w:type="spellEnd"/>
      <w:r w:rsidRPr="00547F9C">
        <w:rPr>
          <w:rFonts w:ascii="Tahoma" w:hAnsi="Tahoma" w:cs="Tahoma"/>
          <w:bCs/>
          <w:color w:val="1F1F1F"/>
        </w:rPr>
        <w:t xml:space="preserve"> went public in 2012 and it was one of the most successful IPO in Europe. </w:t>
      </w:r>
      <w:r w:rsidRPr="00617D68">
        <w:rPr>
          <w:rFonts w:ascii="Tahoma" w:hAnsi="Tahoma" w:cs="Tahoma"/>
          <w:b/>
          <w:bCs/>
          <w:color w:val="1F1F1F"/>
        </w:rPr>
        <w:t>I was in charge of the IPO project for the US entities.</w:t>
      </w:r>
    </w:p>
    <w:p w14:paraId="2B341E6A" w14:textId="77777777" w:rsidR="00865881" w:rsidRPr="00547F9C" w:rsidRDefault="00865881" w:rsidP="00B6500F">
      <w:pPr>
        <w:widowControl w:val="0"/>
        <w:autoSpaceDE w:val="0"/>
        <w:autoSpaceDN w:val="0"/>
        <w:adjustRightInd w:val="0"/>
        <w:jc w:val="both"/>
        <w:rPr>
          <w:rFonts w:ascii="Tahoma" w:hAnsi="Tahoma" w:cs="Tahoma"/>
          <w:color w:val="1F1F1F"/>
        </w:rPr>
      </w:pPr>
      <w:bookmarkStart w:id="0" w:name="_GoBack"/>
      <w:bookmarkEnd w:id="0"/>
    </w:p>
    <w:p w14:paraId="2F1503AD" w14:textId="77777777" w:rsidR="00B6500F" w:rsidRDefault="00B6500F" w:rsidP="00B6500F">
      <w:pPr>
        <w:widowControl w:val="0"/>
        <w:autoSpaceDE w:val="0"/>
        <w:autoSpaceDN w:val="0"/>
        <w:adjustRightInd w:val="0"/>
        <w:jc w:val="both"/>
        <w:rPr>
          <w:rFonts w:ascii="Tahoma" w:hAnsi="Tahoma" w:cs="Tahoma"/>
          <w:color w:val="1F1F1F"/>
        </w:rPr>
      </w:pPr>
      <w:r w:rsidRPr="00547F9C">
        <w:rPr>
          <w:rFonts w:ascii="Tahoma" w:hAnsi="Tahoma" w:cs="Tahoma"/>
          <w:color w:val="1F1F1F"/>
        </w:rPr>
        <w:t xml:space="preserve">I have a significant experience in </w:t>
      </w:r>
      <w:r w:rsidRPr="00D937FC">
        <w:rPr>
          <w:rFonts w:ascii="Tahoma" w:hAnsi="Tahoma" w:cs="Tahoma"/>
          <w:b/>
          <w:color w:val="1F1F1F"/>
          <w:u w:val="single"/>
        </w:rPr>
        <w:t>internal audit</w:t>
      </w:r>
      <w:r w:rsidRPr="00D937FC">
        <w:rPr>
          <w:rFonts w:ascii="Tahoma" w:hAnsi="Tahoma" w:cs="Tahoma"/>
          <w:b/>
          <w:color w:val="1F1F1F"/>
        </w:rPr>
        <w:t>:</w:t>
      </w:r>
      <w:r w:rsidRPr="00547F9C">
        <w:rPr>
          <w:rFonts w:ascii="Tahoma" w:hAnsi="Tahoma" w:cs="Tahoma"/>
          <w:color w:val="1F1F1F"/>
        </w:rPr>
        <w:t xml:space="preserve"> I was in charge of two 404/SOX/internal </w:t>
      </w:r>
      <w:proofErr w:type="gramStart"/>
      <w:r w:rsidRPr="00547F9C">
        <w:rPr>
          <w:rFonts w:ascii="Tahoma" w:hAnsi="Tahoma" w:cs="Tahoma"/>
          <w:color w:val="1F1F1F"/>
        </w:rPr>
        <w:t>control projects</w:t>
      </w:r>
      <w:proofErr w:type="gramEnd"/>
      <w:r w:rsidRPr="00547F9C">
        <w:rPr>
          <w:rFonts w:ascii="Tahoma" w:hAnsi="Tahoma" w:cs="Tahoma"/>
          <w:color w:val="1F1F1F"/>
        </w:rPr>
        <w:t xml:space="preserve"> when I was working at Ernst &amp; Young. The two clients were Verizon (the biggest telecommunication company in the US</w:t>
      </w:r>
      <w:r>
        <w:rPr>
          <w:rFonts w:ascii="Tahoma" w:hAnsi="Tahoma" w:cs="Tahoma"/>
          <w:color w:val="1F1F1F"/>
        </w:rPr>
        <w:t>)</w:t>
      </w:r>
      <w:r w:rsidRPr="00547F9C">
        <w:rPr>
          <w:rFonts w:ascii="Tahoma" w:hAnsi="Tahoma" w:cs="Tahoma"/>
          <w:color w:val="1F1F1F"/>
        </w:rPr>
        <w:t xml:space="preserve"> and Telecom Italia, one of the biggest telecommunication </w:t>
      </w:r>
      <w:proofErr w:type="gramStart"/>
      <w:r w:rsidRPr="00547F9C">
        <w:rPr>
          <w:rFonts w:ascii="Tahoma" w:hAnsi="Tahoma" w:cs="Tahoma"/>
          <w:color w:val="1F1F1F"/>
        </w:rPr>
        <w:t>company</w:t>
      </w:r>
      <w:proofErr w:type="gramEnd"/>
      <w:r w:rsidRPr="00547F9C">
        <w:rPr>
          <w:rFonts w:ascii="Tahoma" w:hAnsi="Tahoma" w:cs="Tahoma"/>
          <w:color w:val="1F1F1F"/>
        </w:rPr>
        <w:t xml:space="preserve"> in Europe ($42billion of revenue).</w:t>
      </w:r>
      <w:r>
        <w:rPr>
          <w:rFonts w:ascii="Tahoma" w:hAnsi="Tahoma" w:cs="Tahoma"/>
          <w:color w:val="1F1F1F"/>
        </w:rPr>
        <w:t xml:space="preserve"> Furthermore I tested complex internal control environments of complex companies.</w:t>
      </w:r>
    </w:p>
    <w:p w14:paraId="610C15FB" w14:textId="77777777" w:rsidR="00AD170C" w:rsidRDefault="00AD170C" w:rsidP="00B6500F">
      <w:pPr>
        <w:widowControl w:val="0"/>
        <w:autoSpaceDE w:val="0"/>
        <w:autoSpaceDN w:val="0"/>
        <w:adjustRightInd w:val="0"/>
        <w:jc w:val="both"/>
        <w:rPr>
          <w:rFonts w:ascii="Tahoma" w:hAnsi="Tahoma" w:cs="Tahoma"/>
          <w:color w:val="1F1F1F"/>
        </w:rPr>
      </w:pPr>
    </w:p>
    <w:p w14:paraId="35E58F8E" w14:textId="77777777" w:rsidR="00AD170C" w:rsidRPr="00AD170C" w:rsidRDefault="00AD170C" w:rsidP="00AD170C">
      <w:pPr>
        <w:widowControl w:val="0"/>
        <w:autoSpaceDE w:val="0"/>
        <w:autoSpaceDN w:val="0"/>
        <w:adjustRightInd w:val="0"/>
        <w:jc w:val="both"/>
        <w:rPr>
          <w:rFonts w:ascii="Tahoma" w:hAnsi="Tahoma" w:cs="Tahoma"/>
          <w:color w:val="1F1F1F"/>
        </w:rPr>
      </w:pPr>
      <w:r w:rsidRPr="00AD170C">
        <w:rPr>
          <w:rFonts w:ascii="Tahoma" w:hAnsi="Tahoma" w:cs="Tahoma"/>
          <w:color w:val="1F1F1F"/>
        </w:rPr>
        <w:t xml:space="preserve">On Telecom Italia I reported directly to </w:t>
      </w:r>
      <w:proofErr w:type="spellStart"/>
      <w:r w:rsidRPr="00AD170C">
        <w:rPr>
          <w:rFonts w:ascii="Tahoma" w:hAnsi="Tahoma" w:cs="Tahoma"/>
          <w:color w:val="1F1F1F"/>
        </w:rPr>
        <w:t>Felice</w:t>
      </w:r>
      <w:proofErr w:type="spellEnd"/>
      <w:r w:rsidRPr="00AD170C">
        <w:rPr>
          <w:rFonts w:ascii="Tahoma" w:hAnsi="Tahoma" w:cs="Tahoma"/>
          <w:color w:val="1F1F1F"/>
        </w:rPr>
        <w:t xml:space="preserve"> </w:t>
      </w:r>
      <w:proofErr w:type="spellStart"/>
      <w:r w:rsidRPr="00AD170C">
        <w:rPr>
          <w:rFonts w:ascii="Tahoma" w:hAnsi="Tahoma" w:cs="Tahoma"/>
          <w:color w:val="1F1F1F"/>
        </w:rPr>
        <w:t>Persico</w:t>
      </w:r>
      <w:proofErr w:type="spellEnd"/>
      <w:r w:rsidRPr="00AD170C">
        <w:rPr>
          <w:rFonts w:ascii="Tahoma" w:hAnsi="Tahoma" w:cs="Tahoma"/>
          <w:color w:val="1F1F1F"/>
        </w:rPr>
        <w:t xml:space="preserve"> who is currently Ernst &amp; Young Global Assurance Leader:</w:t>
      </w:r>
    </w:p>
    <w:p w14:paraId="27B4340C" w14:textId="42C0F99A" w:rsidR="00AD170C" w:rsidRPr="00AD170C" w:rsidRDefault="00865881" w:rsidP="00AD170C">
      <w:pPr>
        <w:widowControl w:val="0"/>
        <w:autoSpaceDE w:val="0"/>
        <w:autoSpaceDN w:val="0"/>
        <w:adjustRightInd w:val="0"/>
        <w:jc w:val="both"/>
        <w:rPr>
          <w:rFonts w:ascii="Tahoma" w:hAnsi="Tahoma" w:cs="Tahoma"/>
          <w:color w:val="1F1F1F"/>
        </w:rPr>
      </w:pPr>
      <w:hyperlink r:id="rId6" w:history="1">
        <w:r w:rsidR="00AD170C" w:rsidRPr="00AD170C">
          <w:rPr>
            <w:rFonts w:ascii="Tahoma" w:hAnsi="Tahoma" w:cs="Tahoma"/>
            <w:color w:val="1F1F1F"/>
          </w:rPr>
          <w:t>http://www.ey.com/GL/en/Newsroom/News-releases/News_Felice-Persico-appointed-EY-Global-Assurance-Leader</w:t>
        </w:r>
      </w:hyperlink>
    </w:p>
    <w:p w14:paraId="6A48D693" w14:textId="77777777" w:rsidR="00865881" w:rsidRPr="00547F9C" w:rsidRDefault="00865881" w:rsidP="00B6500F">
      <w:pPr>
        <w:widowControl w:val="0"/>
        <w:autoSpaceDE w:val="0"/>
        <w:autoSpaceDN w:val="0"/>
        <w:adjustRightInd w:val="0"/>
        <w:jc w:val="both"/>
        <w:rPr>
          <w:rFonts w:ascii="Tahoma" w:hAnsi="Tahoma" w:cs="Tahoma"/>
          <w:color w:val="1F1F1F"/>
        </w:rPr>
      </w:pPr>
    </w:p>
    <w:p w14:paraId="7F5D3210" w14:textId="77777777" w:rsidR="00B6500F" w:rsidRPr="00547F9C" w:rsidRDefault="00B6500F" w:rsidP="00B6500F">
      <w:pPr>
        <w:widowControl w:val="0"/>
        <w:autoSpaceDE w:val="0"/>
        <w:autoSpaceDN w:val="0"/>
        <w:adjustRightInd w:val="0"/>
        <w:jc w:val="both"/>
        <w:rPr>
          <w:rFonts w:ascii="Tahoma" w:hAnsi="Tahoma" w:cs="Tahoma"/>
          <w:color w:val="1F1F1F"/>
        </w:rPr>
      </w:pPr>
      <w:r w:rsidRPr="009E1387">
        <w:rPr>
          <w:rFonts w:ascii="Tahoma" w:hAnsi="Tahoma" w:cs="Tahoma"/>
          <w:b/>
          <w:color w:val="1F1F1F"/>
          <w:u w:val="single"/>
        </w:rPr>
        <w:t>My audit clients</w:t>
      </w:r>
      <w:r w:rsidRPr="00547F9C">
        <w:rPr>
          <w:rFonts w:ascii="Tahoma" w:hAnsi="Tahoma" w:cs="Tahoma"/>
          <w:color w:val="1F1F1F"/>
        </w:rPr>
        <w:t xml:space="preserve"> include eleven public companies in the US (Siemens, Fila, ABB, Alstom Power, Arrow Electronics, Adecco, Disney, News Corporation, Coca Cola, McDonald’s, Fortress), and five (</w:t>
      </w:r>
      <w:proofErr w:type="spellStart"/>
      <w:r w:rsidRPr="00547F9C">
        <w:rPr>
          <w:rFonts w:ascii="Tahoma" w:hAnsi="Tahoma" w:cs="Tahoma"/>
          <w:color w:val="1F1F1F"/>
        </w:rPr>
        <w:t>Enel</w:t>
      </w:r>
      <w:proofErr w:type="spellEnd"/>
      <w:r w:rsidRPr="00547F9C">
        <w:rPr>
          <w:rFonts w:ascii="Tahoma" w:hAnsi="Tahoma" w:cs="Tahoma"/>
          <w:color w:val="1F1F1F"/>
        </w:rPr>
        <w:t xml:space="preserve">, Syngenta, </w:t>
      </w:r>
      <w:proofErr w:type="spellStart"/>
      <w:r w:rsidRPr="00547F9C">
        <w:rPr>
          <w:rFonts w:ascii="Tahoma" w:hAnsi="Tahoma" w:cs="Tahoma"/>
          <w:color w:val="1F1F1F"/>
        </w:rPr>
        <w:t>Montedison</w:t>
      </w:r>
      <w:proofErr w:type="spellEnd"/>
      <w:r w:rsidRPr="00547F9C">
        <w:rPr>
          <w:rFonts w:ascii="Tahoma" w:hAnsi="Tahoma" w:cs="Tahoma"/>
          <w:color w:val="1F1F1F"/>
        </w:rPr>
        <w:t xml:space="preserve">, </w:t>
      </w:r>
      <w:proofErr w:type="spellStart"/>
      <w:r w:rsidRPr="00547F9C">
        <w:rPr>
          <w:rFonts w:ascii="Tahoma" w:hAnsi="Tahoma" w:cs="Tahoma"/>
          <w:color w:val="1F1F1F"/>
        </w:rPr>
        <w:t>Snia</w:t>
      </w:r>
      <w:proofErr w:type="spellEnd"/>
      <w:r w:rsidRPr="00547F9C">
        <w:rPr>
          <w:rFonts w:ascii="Tahoma" w:hAnsi="Tahoma" w:cs="Tahoma"/>
          <w:color w:val="1F1F1F"/>
        </w:rPr>
        <w:t xml:space="preserve">, </w:t>
      </w:r>
      <w:proofErr w:type="spellStart"/>
      <w:r w:rsidRPr="00547F9C">
        <w:rPr>
          <w:rFonts w:ascii="Tahoma" w:hAnsi="Tahoma" w:cs="Tahoma"/>
          <w:color w:val="1F1F1F"/>
        </w:rPr>
        <w:t>Ing</w:t>
      </w:r>
      <w:proofErr w:type="spellEnd"/>
      <w:r w:rsidRPr="00547F9C">
        <w:rPr>
          <w:rFonts w:ascii="Tahoma" w:hAnsi="Tahoma" w:cs="Tahoma"/>
          <w:color w:val="1F1F1F"/>
        </w:rPr>
        <w:t>) that are public in other European countries and six FORTUNE 500 companies  (Arrow Electronics, Inc., Coca-Cola Enterprises Inc., McDonald's Corporation, News Corporation, Sealed Air Corporation, The Walt Disney Company).</w:t>
      </w:r>
    </w:p>
    <w:p w14:paraId="35568C6B" w14:textId="77777777" w:rsidR="00B6500F" w:rsidRDefault="00B6500F" w:rsidP="00B6500F">
      <w:pPr>
        <w:widowControl w:val="0"/>
        <w:autoSpaceDE w:val="0"/>
        <w:autoSpaceDN w:val="0"/>
        <w:adjustRightInd w:val="0"/>
        <w:jc w:val="both"/>
        <w:rPr>
          <w:rFonts w:ascii="Tahoma" w:hAnsi="Tahoma" w:cs="Tahoma"/>
          <w:color w:val="1F1F1F"/>
        </w:rPr>
      </w:pPr>
      <w:r w:rsidRPr="00547F9C">
        <w:rPr>
          <w:rFonts w:ascii="Tahoma" w:hAnsi="Tahoma" w:cs="Tahoma"/>
          <w:color w:val="1F1F1F"/>
        </w:rPr>
        <w:t> </w:t>
      </w:r>
    </w:p>
    <w:p w14:paraId="5455C168" w14:textId="77777777" w:rsidR="00B6500F" w:rsidRDefault="00B6500F" w:rsidP="00B6500F">
      <w:pPr>
        <w:widowControl w:val="0"/>
        <w:autoSpaceDE w:val="0"/>
        <w:autoSpaceDN w:val="0"/>
        <w:adjustRightInd w:val="0"/>
        <w:jc w:val="both"/>
        <w:rPr>
          <w:rFonts w:ascii="Tahoma" w:hAnsi="Tahoma" w:cs="Tahoma"/>
          <w:color w:val="1F1F1F"/>
        </w:rPr>
      </w:pPr>
      <w:r>
        <w:rPr>
          <w:rFonts w:ascii="Tahoma" w:hAnsi="Tahoma" w:cs="Tahoma"/>
          <w:color w:val="1F1F1F"/>
        </w:rPr>
        <w:t>I am currently based in Italy. I kindly ask you to contact me via email first.</w:t>
      </w:r>
    </w:p>
    <w:p w14:paraId="78E99921" w14:textId="77777777" w:rsidR="00B6500F" w:rsidRDefault="00B6500F" w:rsidP="00B6500F">
      <w:pPr>
        <w:widowControl w:val="0"/>
        <w:autoSpaceDE w:val="0"/>
        <w:autoSpaceDN w:val="0"/>
        <w:adjustRightInd w:val="0"/>
        <w:jc w:val="both"/>
        <w:rPr>
          <w:rFonts w:ascii="Tahoma" w:hAnsi="Tahoma" w:cs="Tahoma"/>
          <w:color w:val="1F1F1F"/>
        </w:rPr>
      </w:pPr>
    </w:p>
    <w:p w14:paraId="34A48BD6" w14:textId="77777777" w:rsidR="00B6500F" w:rsidRPr="00547F9C" w:rsidRDefault="00B6500F" w:rsidP="00B6500F">
      <w:pPr>
        <w:widowControl w:val="0"/>
        <w:autoSpaceDE w:val="0"/>
        <w:autoSpaceDN w:val="0"/>
        <w:adjustRightInd w:val="0"/>
        <w:jc w:val="both"/>
        <w:rPr>
          <w:rFonts w:ascii="Tahoma" w:hAnsi="Tahoma" w:cs="Tahoma"/>
          <w:color w:val="1F1F1F"/>
        </w:rPr>
      </w:pPr>
      <w:r w:rsidRPr="00547F9C">
        <w:rPr>
          <w:rFonts w:ascii="Tahoma" w:hAnsi="Tahoma" w:cs="Tahoma"/>
          <w:color w:val="1F1F1F"/>
        </w:rPr>
        <w:t>Feel free to contact me in case you have any questions. </w:t>
      </w:r>
    </w:p>
    <w:p w14:paraId="27956C88" w14:textId="77777777" w:rsidR="00B6500F" w:rsidRPr="00547F9C" w:rsidRDefault="00B6500F" w:rsidP="00B6500F">
      <w:pPr>
        <w:widowControl w:val="0"/>
        <w:autoSpaceDE w:val="0"/>
        <w:autoSpaceDN w:val="0"/>
        <w:adjustRightInd w:val="0"/>
        <w:jc w:val="both"/>
        <w:rPr>
          <w:rFonts w:ascii="Tahoma" w:hAnsi="Tahoma" w:cs="Tahoma"/>
          <w:color w:val="1F1F1F"/>
        </w:rPr>
      </w:pPr>
      <w:r w:rsidRPr="00547F9C">
        <w:rPr>
          <w:rFonts w:ascii="Tahoma" w:hAnsi="Tahoma" w:cs="Tahoma"/>
          <w:color w:val="1F1F1F"/>
        </w:rPr>
        <w:t>  </w:t>
      </w:r>
    </w:p>
    <w:p w14:paraId="2A716471" w14:textId="77777777" w:rsidR="00B6500F" w:rsidRDefault="00B6500F" w:rsidP="00B6500F">
      <w:pPr>
        <w:widowControl w:val="0"/>
        <w:autoSpaceDE w:val="0"/>
        <w:autoSpaceDN w:val="0"/>
        <w:adjustRightInd w:val="0"/>
        <w:jc w:val="both"/>
        <w:rPr>
          <w:rFonts w:ascii="Tahoma" w:hAnsi="Tahoma" w:cs="Tahoma"/>
          <w:color w:val="1F1F1F"/>
        </w:rPr>
      </w:pPr>
      <w:r w:rsidRPr="00547F9C">
        <w:rPr>
          <w:rFonts w:ascii="Tahoma" w:hAnsi="Tahoma" w:cs="Tahoma"/>
          <w:color w:val="1F1F1F"/>
        </w:rPr>
        <w:lastRenderedPageBreak/>
        <w:t>Best regards</w:t>
      </w:r>
    </w:p>
    <w:p w14:paraId="5B26FE05" w14:textId="77777777" w:rsidR="00B6500F" w:rsidRDefault="00B6500F" w:rsidP="00B6500F">
      <w:pPr>
        <w:widowControl w:val="0"/>
        <w:autoSpaceDE w:val="0"/>
        <w:autoSpaceDN w:val="0"/>
        <w:adjustRightInd w:val="0"/>
        <w:jc w:val="both"/>
        <w:rPr>
          <w:rFonts w:ascii="Tahoma" w:hAnsi="Tahoma" w:cs="Tahoma"/>
          <w:color w:val="1F1F1F"/>
        </w:rPr>
      </w:pPr>
    </w:p>
    <w:p w14:paraId="01EBDDC9" w14:textId="77777777" w:rsidR="00B6500F" w:rsidRPr="009E1387" w:rsidRDefault="00B6500F" w:rsidP="00B6500F">
      <w:pPr>
        <w:widowControl w:val="0"/>
        <w:autoSpaceDE w:val="0"/>
        <w:autoSpaceDN w:val="0"/>
        <w:adjustRightInd w:val="0"/>
        <w:jc w:val="both"/>
        <w:rPr>
          <w:rFonts w:ascii="Tahoma" w:hAnsi="Tahoma" w:cs="Tahoma"/>
          <w:color w:val="1F1F1F"/>
        </w:rPr>
      </w:pPr>
      <w:r w:rsidRPr="00547F9C">
        <w:rPr>
          <w:rFonts w:ascii="Tahoma" w:hAnsi="Tahoma" w:cs="Tahoma"/>
          <w:color w:val="1F1F1F"/>
        </w:rPr>
        <w:t>Fabrizio</w:t>
      </w:r>
    </w:p>
    <w:p w14:paraId="75F991B3" w14:textId="77777777" w:rsidR="00B35ACF" w:rsidRPr="00905ECC" w:rsidRDefault="00B35ACF" w:rsidP="00B35ACF">
      <w:pPr>
        <w:rPr>
          <w:sz w:val="28"/>
          <w:szCs w:val="28"/>
        </w:rPr>
      </w:pPr>
    </w:p>
    <w:p w14:paraId="02577F8F" w14:textId="77777777" w:rsidR="00B35ACF" w:rsidRPr="00905ECC" w:rsidRDefault="00B35ACF" w:rsidP="00B35ACF">
      <w:pPr>
        <w:rPr>
          <w:sz w:val="28"/>
          <w:szCs w:val="28"/>
        </w:rPr>
      </w:pPr>
    </w:p>
    <w:p w14:paraId="04E809DF" w14:textId="77777777" w:rsidR="00B35ACF" w:rsidRDefault="00B35ACF" w:rsidP="00B6500F">
      <w:pPr>
        <w:pStyle w:val="Heading1"/>
        <w:rPr>
          <w:sz w:val="20"/>
        </w:rPr>
      </w:pPr>
    </w:p>
    <w:p w14:paraId="54CF52B4" w14:textId="77777777" w:rsidR="00B35ACF" w:rsidRDefault="00B35ACF" w:rsidP="00B35ACF">
      <w:pPr>
        <w:pStyle w:val="Heading1"/>
        <w:jc w:val="center"/>
        <w:rPr>
          <w:sz w:val="20"/>
        </w:rPr>
      </w:pPr>
      <w:r w:rsidRPr="006037B0">
        <w:rPr>
          <w:sz w:val="20"/>
        </w:rPr>
        <w:t xml:space="preserve">Fabrizio Rotondi  </w:t>
      </w:r>
    </w:p>
    <w:p w14:paraId="30A4A10D" w14:textId="77777777" w:rsidR="00B35ACF" w:rsidRPr="0065348C" w:rsidRDefault="00B35ACF" w:rsidP="00B35ACF">
      <w:pPr>
        <w:pStyle w:val="Heading1"/>
        <w:jc w:val="center"/>
        <w:rPr>
          <w:sz w:val="20"/>
        </w:rPr>
      </w:pPr>
      <w:r w:rsidRPr="006037B0">
        <w:rPr>
          <w:sz w:val="20"/>
        </w:rPr>
        <w:t>CPA</w:t>
      </w:r>
      <w:r>
        <w:rPr>
          <w:sz w:val="20"/>
        </w:rPr>
        <w:t xml:space="preserve"> (Certified Public Accountant)</w:t>
      </w:r>
      <w:r w:rsidRPr="006037B0">
        <w:rPr>
          <w:sz w:val="20"/>
        </w:rPr>
        <w:t xml:space="preserve"> </w:t>
      </w:r>
      <w:r>
        <w:rPr>
          <w:sz w:val="20"/>
        </w:rPr>
        <w:t>–</w:t>
      </w:r>
      <w:r w:rsidRPr="006037B0">
        <w:rPr>
          <w:sz w:val="20"/>
        </w:rPr>
        <w:t xml:space="preserve"> CIA</w:t>
      </w:r>
      <w:r>
        <w:rPr>
          <w:sz w:val="20"/>
        </w:rPr>
        <w:t xml:space="preserve"> (Certified Internal Auditor) </w:t>
      </w:r>
    </w:p>
    <w:p w14:paraId="36C34B83" w14:textId="77777777" w:rsidR="00B35ACF" w:rsidRPr="006037B0" w:rsidRDefault="00B35ACF" w:rsidP="00B35ACF">
      <w:pPr>
        <w:rPr>
          <w:sz w:val="20"/>
          <w:szCs w:val="20"/>
        </w:rPr>
      </w:pPr>
      <w:r w:rsidRPr="006037B0">
        <w:rPr>
          <w:sz w:val="20"/>
          <w:szCs w:val="20"/>
        </w:rPr>
        <w:t xml:space="preserve">                                                                  Bachelor/ master’s degrees in business and economics</w:t>
      </w:r>
    </w:p>
    <w:p w14:paraId="7D34A79E" w14:textId="0359CA0B" w:rsidR="00B35ACF" w:rsidRPr="006037B0" w:rsidRDefault="00B35ACF" w:rsidP="00B35ACF">
      <w:pPr>
        <w:jc w:val="center"/>
        <w:rPr>
          <w:sz w:val="20"/>
          <w:szCs w:val="20"/>
        </w:rPr>
      </w:pPr>
      <w:r>
        <w:rPr>
          <w:sz w:val="20"/>
          <w:szCs w:val="20"/>
        </w:rPr>
        <w:t xml:space="preserve">     </w:t>
      </w:r>
      <w:proofErr w:type="spellStart"/>
      <w:r w:rsidR="00B6500F">
        <w:rPr>
          <w:sz w:val="20"/>
          <w:szCs w:val="20"/>
        </w:rPr>
        <w:t>Vicolo</w:t>
      </w:r>
      <w:proofErr w:type="spellEnd"/>
      <w:r w:rsidR="00B6500F">
        <w:rPr>
          <w:sz w:val="20"/>
          <w:szCs w:val="20"/>
        </w:rPr>
        <w:t xml:space="preserve"> </w:t>
      </w:r>
      <w:proofErr w:type="spellStart"/>
      <w:r w:rsidR="00B6500F">
        <w:rPr>
          <w:sz w:val="20"/>
          <w:szCs w:val="20"/>
        </w:rPr>
        <w:t>Bersaglio</w:t>
      </w:r>
      <w:proofErr w:type="spellEnd"/>
      <w:r w:rsidR="00B6500F">
        <w:rPr>
          <w:sz w:val="20"/>
          <w:szCs w:val="20"/>
        </w:rPr>
        <w:t xml:space="preserve"> 30 – 39100 Bolzano - Italy</w:t>
      </w:r>
    </w:p>
    <w:p w14:paraId="680F6017" w14:textId="60E7298E" w:rsidR="00B35ACF" w:rsidRDefault="00B35ACF" w:rsidP="00B35ACF">
      <w:pPr>
        <w:jc w:val="center"/>
        <w:rPr>
          <w:rStyle w:val="Hyperlink"/>
          <w:sz w:val="20"/>
          <w:szCs w:val="20"/>
        </w:rPr>
      </w:pPr>
      <w:r w:rsidRPr="006037B0">
        <w:rPr>
          <w:sz w:val="20"/>
          <w:szCs w:val="20"/>
        </w:rPr>
        <w:t xml:space="preserve">- </w:t>
      </w:r>
      <w:hyperlink r:id="rId7" w:history="1">
        <w:r w:rsidRPr="006037B0">
          <w:rPr>
            <w:rStyle w:val="Hyperlink"/>
            <w:sz w:val="20"/>
            <w:szCs w:val="20"/>
          </w:rPr>
          <w:t>fabriziorotondi@live.com</w:t>
        </w:r>
      </w:hyperlink>
    </w:p>
    <w:p w14:paraId="0EB50CBA" w14:textId="77777777" w:rsidR="00B35ACF" w:rsidRDefault="00B35ACF" w:rsidP="00B35ACF">
      <w:pPr>
        <w:rPr>
          <w:rStyle w:val="Hyperlink"/>
          <w:sz w:val="20"/>
          <w:szCs w:val="20"/>
        </w:rPr>
      </w:pPr>
    </w:p>
    <w:p w14:paraId="26A8C165" w14:textId="77777777" w:rsidR="00B6500F" w:rsidRPr="006037B0" w:rsidRDefault="00B6500F" w:rsidP="00B35ACF">
      <w:pPr>
        <w:rPr>
          <w:sz w:val="18"/>
          <w:szCs w:val="18"/>
        </w:rPr>
      </w:pPr>
    </w:p>
    <w:p w14:paraId="52B604C6" w14:textId="77777777" w:rsidR="00B35ACF" w:rsidRPr="00F173DC" w:rsidRDefault="00B35ACF" w:rsidP="00B35ACF">
      <w:pPr>
        <w:pStyle w:val="Heading1"/>
        <w:rPr>
          <w:b w:val="0"/>
          <w:sz w:val="19"/>
          <w:szCs w:val="19"/>
          <w:u w:val="single"/>
        </w:rPr>
      </w:pPr>
      <w:r w:rsidRPr="00F173DC">
        <w:rPr>
          <w:sz w:val="19"/>
          <w:szCs w:val="19"/>
        </w:rPr>
        <w:t xml:space="preserve">Professional experience </w:t>
      </w:r>
      <w:r w:rsidRPr="00F173DC">
        <w:rPr>
          <w:b w:val="0"/>
          <w:sz w:val="19"/>
          <w:szCs w:val="19"/>
        </w:rPr>
        <w:t>(</w:t>
      </w:r>
      <w:r w:rsidRPr="00F173DC">
        <w:rPr>
          <w:b w:val="0"/>
          <w:sz w:val="19"/>
          <w:szCs w:val="19"/>
          <w:u w:val="single"/>
        </w:rPr>
        <w:t>1998 – 2012)</w:t>
      </w:r>
    </w:p>
    <w:p w14:paraId="2BE20B87" w14:textId="77777777" w:rsidR="00B35ACF" w:rsidRPr="00F173DC" w:rsidRDefault="00B35ACF" w:rsidP="00B35ACF">
      <w:pPr>
        <w:rPr>
          <w:sz w:val="19"/>
          <w:szCs w:val="19"/>
        </w:rPr>
      </w:pPr>
    </w:p>
    <w:p w14:paraId="19E10D97" w14:textId="77777777" w:rsidR="00B35ACF" w:rsidRPr="00F173DC" w:rsidRDefault="00B35ACF" w:rsidP="00B35ACF">
      <w:pPr>
        <w:ind w:firstLine="360"/>
        <w:rPr>
          <w:rFonts w:eastAsia="Arial Unicode MS"/>
          <w:b/>
          <w:sz w:val="19"/>
          <w:szCs w:val="19"/>
          <w:u w:val="single"/>
        </w:rPr>
      </w:pPr>
      <w:r w:rsidRPr="00F173DC">
        <w:rPr>
          <w:rFonts w:eastAsia="Arial Unicode MS"/>
          <w:b/>
          <w:sz w:val="19"/>
          <w:szCs w:val="19"/>
          <w:u w:val="single"/>
        </w:rPr>
        <w:t xml:space="preserve">BRUNELLO CUCINELLI HOLDING CO. LLC - BRUNELLO CUCINELLI USA INC – </w:t>
      </w:r>
      <w:r w:rsidRPr="00F173DC">
        <w:rPr>
          <w:rFonts w:eastAsia="Arial Unicode MS"/>
          <w:b/>
          <w:i/>
          <w:sz w:val="19"/>
          <w:szCs w:val="19"/>
          <w:u w:val="single"/>
        </w:rPr>
        <w:t>CFO</w:t>
      </w:r>
      <w:r w:rsidRPr="00F173DC">
        <w:rPr>
          <w:rFonts w:eastAsia="Arial Unicode MS"/>
          <w:b/>
          <w:sz w:val="19"/>
          <w:szCs w:val="19"/>
          <w:u w:val="single"/>
        </w:rPr>
        <w:t xml:space="preserve"> - 2011 – 2012</w:t>
      </w:r>
    </w:p>
    <w:p w14:paraId="69D321A2" w14:textId="77777777" w:rsidR="00B35ACF" w:rsidRPr="00F173DC" w:rsidRDefault="00B35ACF" w:rsidP="00B35ACF">
      <w:pPr>
        <w:numPr>
          <w:ilvl w:val="0"/>
          <w:numId w:val="1"/>
        </w:numPr>
        <w:tabs>
          <w:tab w:val="left" w:pos="-108"/>
        </w:tabs>
        <w:jc w:val="both"/>
        <w:rPr>
          <w:sz w:val="19"/>
          <w:szCs w:val="19"/>
        </w:rPr>
      </w:pPr>
      <w:proofErr w:type="spellStart"/>
      <w:r w:rsidRPr="00F173DC">
        <w:rPr>
          <w:sz w:val="19"/>
          <w:szCs w:val="19"/>
        </w:rPr>
        <w:t>Brunello</w:t>
      </w:r>
      <w:proofErr w:type="spellEnd"/>
      <w:r w:rsidRPr="00F173DC">
        <w:rPr>
          <w:sz w:val="19"/>
          <w:szCs w:val="19"/>
        </w:rPr>
        <w:t xml:space="preserve"> </w:t>
      </w:r>
      <w:proofErr w:type="spellStart"/>
      <w:r w:rsidRPr="00F173DC">
        <w:rPr>
          <w:sz w:val="19"/>
          <w:szCs w:val="19"/>
        </w:rPr>
        <w:t>Cucinelli</w:t>
      </w:r>
      <w:proofErr w:type="spellEnd"/>
      <w:r w:rsidRPr="00F173DC">
        <w:rPr>
          <w:sz w:val="19"/>
          <w:szCs w:val="19"/>
        </w:rPr>
        <w:t xml:space="preserve"> is an Italian company in the fashion industry that produces luxury products. Known for its cashmere products, is now one of the most exclusive casual-chic fashion brands in the world. The company went public on the Milan Stock Exchange in 04/2012. The </w:t>
      </w:r>
      <w:r w:rsidRPr="00F173DC">
        <w:rPr>
          <w:b/>
          <w:sz w:val="19"/>
          <w:szCs w:val="19"/>
        </w:rPr>
        <w:t>IPO</w:t>
      </w:r>
      <w:r w:rsidRPr="00F173DC">
        <w:rPr>
          <w:sz w:val="19"/>
          <w:szCs w:val="19"/>
        </w:rPr>
        <w:t xml:space="preserve"> was very successful and it was the only IPO in Italy in 2012. </w:t>
      </w:r>
      <w:r w:rsidRPr="00F173DC">
        <w:rPr>
          <w:b/>
          <w:sz w:val="19"/>
          <w:szCs w:val="19"/>
        </w:rPr>
        <w:t xml:space="preserve">Total </w:t>
      </w:r>
      <w:r>
        <w:rPr>
          <w:b/>
          <w:sz w:val="19"/>
          <w:szCs w:val="19"/>
        </w:rPr>
        <w:t xml:space="preserve">consolidated </w:t>
      </w:r>
      <w:r w:rsidRPr="00F173DC">
        <w:rPr>
          <w:b/>
          <w:sz w:val="19"/>
          <w:szCs w:val="19"/>
        </w:rPr>
        <w:t xml:space="preserve">revenue </w:t>
      </w:r>
      <w:r>
        <w:rPr>
          <w:b/>
          <w:sz w:val="19"/>
          <w:szCs w:val="19"/>
        </w:rPr>
        <w:t xml:space="preserve">as of 12.31.2011 in the US </w:t>
      </w:r>
      <w:proofErr w:type="gramStart"/>
      <w:r w:rsidRPr="00F173DC">
        <w:rPr>
          <w:b/>
          <w:sz w:val="19"/>
          <w:szCs w:val="19"/>
        </w:rPr>
        <w:t>are</w:t>
      </w:r>
      <w:proofErr w:type="gramEnd"/>
      <w:r w:rsidRPr="00F173DC">
        <w:rPr>
          <w:b/>
          <w:sz w:val="19"/>
          <w:szCs w:val="19"/>
        </w:rPr>
        <w:t xml:space="preserve"> $132M</w:t>
      </w:r>
      <w:r>
        <w:rPr>
          <w:sz w:val="19"/>
          <w:szCs w:val="19"/>
        </w:rPr>
        <w:t>.</w:t>
      </w:r>
    </w:p>
    <w:p w14:paraId="63BE4480" w14:textId="77777777" w:rsidR="00B35ACF" w:rsidRPr="00F173DC" w:rsidRDefault="00B35ACF" w:rsidP="00B35ACF">
      <w:pPr>
        <w:numPr>
          <w:ilvl w:val="0"/>
          <w:numId w:val="1"/>
        </w:numPr>
        <w:tabs>
          <w:tab w:val="left" w:pos="-108"/>
        </w:tabs>
        <w:jc w:val="both"/>
        <w:rPr>
          <w:sz w:val="19"/>
          <w:szCs w:val="19"/>
        </w:rPr>
      </w:pPr>
      <w:r w:rsidRPr="00F173DC">
        <w:rPr>
          <w:sz w:val="19"/>
          <w:szCs w:val="19"/>
        </w:rPr>
        <w:t>Successfully oversaw the preparation financial statements, budgets and cash flows that were used as part of the 2012 IPO. The audit of the financial statements by external auditors resulted in no adjustments unlike the prior years;</w:t>
      </w:r>
    </w:p>
    <w:p w14:paraId="1556DDFC" w14:textId="77777777" w:rsidR="00B35ACF" w:rsidRPr="00F173DC" w:rsidRDefault="00B35ACF" w:rsidP="00B35ACF">
      <w:pPr>
        <w:numPr>
          <w:ilvl w:val="0"/>
          <w:numId w:val="1"/>
        </w:numPr>
        <w:tabs>
          <w:tab w:val="left" w:pos="-108"/>
        </w:tabs>
        <w:jc w:val="both"/>
        <w:rPr>
          <w:sz w:val="19"/>
          <w:szCs w:val="19"/>
        </w:rPr>
      </w:pPr>
      <w:r w:rsidRPr="00F173DC">
        <w:rPr>
          <w:sz w:val="19"/>
          <w:szCs w:val="19"/>
        </w:rPr>
        <w:t>Oversaw the monthly consolidation financial statements entities under US GAAP and IFRS and reviewed analysis of the consolidated results;</w:t>
      </w:r>
    </w:p>
    <w:p w14:paraId="408ECD36" w14:textId="77777777" w:rsidR="00B35ACF" w:rsidRPr="00F173DC" w:rsidRDefault="00B35ACF" w:rsidP="00B35ACF">
      <w:pPr>
        <w:numPr>
          <w:ilvl w:val="0"/>
          <w:numId w:val="1"/>
        </w:numPr>
        <w:tabs>
          <w:tab w:val="left" w:pos="-108"/>
        </w:tabs>
        <w:jc w:val="both"/>
        <w:rPr>
          <w:sz w:val="19"/>
          <w:szCs w:val="19"/>
        </w:rPr>
      </w:pPr>
      <w:r w:rsidRPr="00F173DC">
        <w:rPr>
          <w:sz w:val="19"/>
          <w:szCs w:val="19"/>
        </w:rPr>
        <w:t>Within six months from his hiring accomplished the financial statement process to be closed by January 9</w:t>
      </w:r>
      <w:r w:rsidRPr="00F173DC">
        <w:rPr>
          <w:sz w:val="19"/>
          <w:szCs w:val="19"/>
          <w:vertAlign w:val="superscript"/>
        </w:rPr>
        <w:t>th</w:t>
      </w:r>
      <w:r w:rsidRPr="00F173DC">
        <w:rPr>
          <w:sz w:val="19"/>
          <w:szCs w:val="19"/>
        </w:rPr>
        <w:t xml:space="preserve"> for both entities. In the prior years the financial statements were closed in May. The </w:t>
      </w:r>
      <w:r>
        <w:rPr>
          <w:sz w:val="19"/>
          <w:szCs w:val="19"/>
        </w:rPr>
        <w:t xml:space="preserve">finance </w:t>
      </w:r>
      <w:r w:rsidRPr="00F173DC">
        <w:rPr>
          <w:sz w:val="19"/>
          <w:szCs w:val="19"/>
        </w:rPr>
        <w:t>team, except for the CFO, was the same.</w:t>
      </w:r>
    </w:p>
    <w:p w14:paraId="41636117" w14:textId="77777777" w:rsidR="00B35ACF" w:rsidRPr="00F173DC" w:rsidRDefault="00B35ACF" w:rsidP="00B35ACF">
      <w:pPr>
        <w:numPr>
          <w:ilvl w:val="0"/>
          <w:numId w:val="1"/>
        </w:numPr>
        <w:tabs>
          <w:tab w:val="left" w:pos="-108"/>
        </w:tabs>
        <w:jc w:val="both"/>
        <w:rPr>
          <w:sz w:val="19"/>
          <w:szCs w:val="19"/>
        </w:rPr>
      </w:pPr>
      <w:r w:rsidRPr="00F173DC">
        <w:rPr>
          <w:sz w:val="19"/>
          <w:szCs w:val="19"/>
        </w:rPr>
        <w:t>Strengthened internal control procedures for all significant processes that resulted in having no</w:t>
      </w:r>
      <w:r>
        <w:rPr>
          <w:sz w:val="19"/>
          <w:szCs w:val="19"/>
        </w:rPr>
        <w:t xml:space="preserve"> accruals</w:t>
      </w:r>
      <w:r w:rsidRPr="00F173DC">
        <w:rPr>
          <w:sz w:val="19"/>
          <w:szCs w:val="19"/>
        </w:rPr>
        <w:t xml:space="preserve"> for both the </w:t>
      </w:r>
      <w:r>
        <w:rPr>
          <w:sz w:val="19"/>
          <w:szCs w:val="19"/>
        </w:rPr>
        <w:t>provision of</w:t>
      </w:r>
      <w:r w:rsidRPr="00F173DC">
        <w:rPr>
          <w:sz w:val="19"/>
          <w:szCs w:val="19"/>
        </w:rPr>
        <w:t xml:space="preserve"> doubtful accounts and obsolete inventory;</w:t>
      </w:r>
    </w:p>
    <w:p w14:paraId="1C908C58" w14:textId="77777777" w:rsidR="00B35ACF" w:rsidRPr="00F173DC" w:rsidRDefault="00B35ACF" w:rsidP="00B35ACF">
      <w:pPr>
        <w:numPr>
          <w:ilvl w:val="0"/>
          <w:numId w:val="1"/>
        </w:numPr>
        <w:tabs>
          <w:tab w:val="left" w:pos="-108"/>
        </w:tabs>
        <w:jc w:val="both"/>
        <w:rPr>
          <w:sz w:val="19"/>
          <w:szCs w:val="19"/>
        </w:rPr>
      </w:pPr>
      <w:r w:rsidRPr="00F173DC">
        <w:rPr>
          <w:sz w:val="19"/>
          <w:szCs w:val="19"/>
        </w:rPr>
        <w:t>Adopted a “hands on” approach to face the fact that he had no controller on one entity (</w:t>
      </w:r>
      <w:proofErr w:type="spellStart"/>
      <w:r w:rsidRPr="00F173DC">
        <w:rPr>
          <w:sz w:val="19"/>
          <w:szCs w:val="19"/>
        </w:rPr>
        <w:t>Brunello</w:t>
      </w:r>
      <w:proofErr w:type="spellEnd"/>
      <w:r w:rsidRPr="00F173DC">
        <w:rPr>
          <w:sz w:val="19"/>
          <w:szCs w:val="19"/>
        </w:rPr>
        <w:t xml:space="preserve"> </w:t>
      </w:r>
      <w:proofErr w:type="spellStart"/>
      <w:r w:rsidRPr="00F173DC">
        <w:rPr>
          <w:sz w:val="19"/>
          <w:szCs w:val="19"/>
        </w:rPr>
        <w:t>Cucinelli</w:t>
      </w:r>
      <w:proofErr w:type="spellEnd"/>
      <w:r w:rsidRPr="00F173DC">
        <w:rPr>
          <w:sz w:val="19"/>
          <w:szCs w:val="19"/>
        </w:rPr>
        <w:t xml:space="preserve"> USA INC.) and a part time general controller </w:t>
      </w:r>
      <w:r>
        <w:rPr>
          <w:sz w:val="19"/>
          <w:szCs w:val="19"/>
        </w:rPr>
        <w:t xml:space="preserve">on the other </w:t>
      </w:r>
      <w:r w:rsidRPr="00F173DC">
        <w:rPr>
          <w:sz w:val="19"/>
          <w:szCs w:val="19"/>
        </w:rPr>
        <w:t>(</w:t>
      </w:r>
      <w:proofErr w:type="spellStart"/>
      <w:r w:rsidRPr="00F173DC">
        <w:rPr>
          <w:sz w:val="19"/>
          <w:szCs w:val="19"/>
        </w:rPr>
        <w:t>Brunello</w:t>
      </w:r>
      <w:proofErr w:type="spellEnd"/>
      <w:r w:rsidRPr="00F173DC">
        <w:rPr>
          <w:sz w:val="19"/>
          <w:szCs w:val="19"/>
        </w:rPr>
        <w:t xml:space="preserve"> </w:t>
      </w:r>
      <w:proofErr w:type="spellStart"/>
      <w:r w:rsidRPr="00F173DC">
        <w:rPr>
          <w:sz w:val="19"/>
          <w:szCs w:val="19"/>
        </w:rPr>
        <w:t>Cucinelli</w:t>
      </w:r>
      <w:proofErr w:type="spellEnd"/>
      <w:r>
        <w:rPr>
          <w:sz w:val="19"/>
          <w:szCs w:val="19"/>
        </w:rPr>
        <w:t xml:space="preserve"> Holding</w:t>
      </w:r>
      <w:r w:rsidRPr="00F173DC">
        <w:rPr>
          <w:sz w:val="19"/>
          <w:szCs w:val="19"/>
        </w:rPr>
        <w:t>) that worked two days a week from 9 to 2 in the office and the rest of the time from home. Prepared and reviewed countless deliverables that normally are not prepared by the CFO to meet extremely tight deadl</w:t>
      </w:r>
      <w:r>
        <w:rPr>
          <w:sz w:val="19"/>
          <w:szCs w:val="19"/>
        </w:rPr>
        <w:t xml:space="preserve">ines set by the Parent company. To be noted is that I was the only direct employee of </w:t>
      </w:r>
      <w:proofErr w:type="spellStart"/>
      <w:r>
        <w:rPr>
          <w:sz w:val="19"/>
          <w:szCs w:val="19"/>
        </w:rPr>
        <w:t>Brunello</w:t>
      </w:r>
      <w:proofErr w:type="spellEnd"/>
      <w:r>
        <w:rPr>
          <w:sz w:val="19"/>
          <w:szCs w:val="19"/>
        </w:rPr>
        <w:t xml:space="preserve"> </w:t>
      </w:r>
      <w:proofErr w:type="spellStart"/>
      <w:r>
        <w:rPr>
          <w:sz w:val="19"/>
          <w:szCs w:val="19"/>
        </w:rPr>
        <w:t>Cucinelli</w:t>
      </w:r>
      <w:proofErr w:type="spellEnd"/>
      <w:r>
        <w:rPr>
          <w:sz w:val="19"/>
          <w:szCs w:val="19"/>
        </w:rPr>
        <w:t xml:space="preserve"> in the finance and accounting department;</w:t>
      </w:r>
    </w:p>
    <w:p w14:paraId="7064CF67" w14:textId="77777777" w:rsidR="00B35ACF" w:rsidRPr="00F173DC" w:rsidRDefault="00B35ACF" w:rsidP="00B35ACF">
      <w:pPr>
        <w:numPr>
          <w:ilvl w:val="0"/>
          <w:numId w:val="1"/>
        </w:numPr>
        <w:tabs>
          <w:tab w:val="left" w:pos="-108"/>
        </w:tabs>
        <w:jc w:val="both"/>
        <w:rPr>
          <w:sz w:val="19"/>
          <w:szCs w:val="19"/>
        </w:rPr>
      </w:pPr>
      <w:r w:rsidRPr="00F173DC">
        <w:rPr>
          <w:sz w:val="19"/>
          <w:szCs w:val="19"/>
        </w:rPr>
        <w:t xml:space="preserve">Acted as sole contact for the local and corporate auditors to provide them all the deliverables needed for the audit/IPO. The majority of the deliverables were provided prior to the start of the audit. This “hands on” approach proved to be key in helping the auditors to complete their audit procedures on a timely basis and avoid significant delays incurred in the past audits; </w:t>
      </w:r>
    </w:p>
    <w:p w14:paraId="66758E8A" w14:textId="77777777" w:rsidR="00B35ACF" w:rsidRPr="00695502" w:rsidRDefault="00B35ACF" w:rsidP="00B35ACF">
      <w:pPr>
        <w:numPr>
          <w:ilvl w:val="0"/>
          <w:numId w:val="1"/>
        </w:numPr>
        <w:jc w:val="both"/>
        <w:textAlignment w:val="baseline"/>
        <w:rPr>
          <w:sz w:val="19"/>
          <w:szCs w:val="19"/>
        </w:rPr>
      </w:pPr>
      <w:r w:rsidRPr="00F173DC">
        <w:rPr>
          <w:sz w:val="19"/>
          <w:szCs w:val="19"/>
        </w:rPr>
        <w:t>Successfully acted as “</w:t>
      </w:r>
      <w:proofErr w:type="spellStart"/>
      <w:r w:rsidRPr="00F173DC">
        <w:rPr>
          <w:sz w:val="19"/>
          <w:szCs w:val="19"/>
        </w:rPr>
        <w:t>dirigente</w:t>
      </w:r>
      <w:proofErr w:type="spellEnd"/>
      <w:r w:rsidRPr="00F173DC">
        <w:rPr>
          <w:sz w:val="19"/>
          <w:szCs w:val="19"/>
        </w:rPr>
        <w:t xml:space="preserve"> </w:t>
      </w:r>
      <w:proofErr w:type="spellStart"/>
      <w:r w:rsidRPr="00F173DC">
        <w:rPr>
          <w:sz w:val="19"/>
          <w:szCs w:val="19"/>
        </w:rPr>
        <w:t>preposto</w:t>
      </w:r>
      <w:proofErr w:type="spellEnd"/>
      <w:r w:rsidRPr="00F173DC">
        <w:rPr>
          <w:sz w:val="19"/>
          <w:szCs w:val="19"/>
        </w:rPr>
        <w:t xml:space="preserve">”, an executive position responsible for internal control, mandatory for Italian public companies and implemented a internal control environment in compliance with Sarbanes and Oxley act;  </w:t>
      </w:r>
    </w:p>
    <w:p w14:paraId="46EA222B" w14:textId="77777777" w:rsidR="00B35ACF" w:rsidRDefault="00B35ACF" w:rsidP="00B35ACF">
      <w:pPr>
        <w:ind w:firstLine="360"/>
        <w:rPr>
          <w:rFonts w:eastAsia="Arial Unicode MS"/>
          <w:b/>
          <w:sz w:val="19"/>
          <w:szCs w:val="19"/>
          <w:u w:val="single"/>
        </w:rPr>
      </w:pPr>
    </w:p>
    <w:p w14:paraId="1F2DA3E4" w14:textId="77777777" w:rsidR="00B35ACF" w:rsidRPr="00F173DC" w:rsidRDefault="00B35ACF" w:rsidP="00B35ACF">
      <w:pPr>
        <w:ind w:firstLine="360"/>
        <w:rPr>
          <w:rFonts w:eastAsia="Arial Unicode MS"/>
          <w:b/>
          <w:i/>
          <w:sz w:val="19"/>
          <w:szCs w:val="19"/>
          <w:u w:val="single"/>
        </w:rPr>
      </w:pPr>
      <w:r w:rsidRPr="00F173DC">
        <w:rPr>
          <w:rFonts w:eastAsia="Arial Unicode MS"/>
          <w:b/>
          <w:sz w:val="19"/>
          <w:szCs w:val="19"/>
          <w:u w:val="single"/>
        </w:rPr>
        <w:t xml:space="preserve">HMX GROUP 2010 – 2011 </w:t>
      </w:r>
      <w:r w:rsidRPr="00F173DC">
        <w:rPr>
          <w:rFonts w:eastAsia="Arial Unicode MS"/>
          <w:b/>
          <w:i/>
          <w:sz w:val="19"/>
          <w:szCs w:val="19"/>
          <w:u w:val="single"/>
        </w:rPr>
        <w:t>Director of financial reporting</w:t>
      </w:r>
    </w:p>
    <w:p w14:paraId="34F51442" w14:textId="77777777" w:rsidR="00B35ACF" w:rsidRPr="007C2FD0" w:rsidRDefault="00B35ACF" w:rsidP="00B35ACF">
      <w:pPr>
        <w:numPr>
          <w:ilvl w:val="0"/>
          <w:numId w:val="1"/>
        </w:numPr>
        <w:tabs>
          <w:tab w:val="left" w:pos="-108"/>
        </w:tabs>
        <w:jc w:val="both"/>
        <w:rPr>
          <w:b/>
          <w:sz w:val="19"/>
          <w:szCs w:val="19"/>
        </w:rPr>
      </w:pPr>
      <w:r w:rsidRPr="00F173DC">
        <w:rPr>
          <w:sz w:val="19"/>
          <w:szCs w:val="19"/>
        </w:rPr>
        <w:t xml:space="preserve">HMX, LLC a US leading tailored clothing company, with a diverse portfolio of brands, both owned and licensed, that are distributed through all domestic retail channels and internationally. HMX’s most prominent brands include Hickey Freeman, </w:t>
      </w:r>
      <w:proofErr w:type="spellStart"/>
      <w:r w:rsidRPr="00F173DC">
        <w:rPr>
          <w:sz w:val="19"/>
          <w:szCs w:val="19"/>
        </w:rPr>
        <w:t>Coppley</w:t>
      </w:r>
      <w:proofErr w:type="spellEnd"/>
      <w:r w:rsidRPr="00F173DC">
        <w:rPr>
          <w:sz w:val="19"/>
          <w:szCs w:val="19"/>
        </w:rPr>
        <w:t xml:space="preserve">, </w:t>
      </w:r>
      <w:proofErr w:type="gramStart"/>
      <w:r w:rsidRPr="00F173DC">
        <w:rPr>
          <w:sz w:val="19"/>
          <w:szCs w:val="19"/>
        </w:rPr>
        <w:t>Hart</w:t>
      </w:r>
      <w:proofErr w:type="gramEnd"/>
      <w:r w:rsidRPr="00F173DC">
        <w:rPr>
          <w:sz w:val="19"/>
          <w:szCs w:val="19"/>
        </w:rPr>
        <w:t xml:space="preserve"> </w:t>
      </w:r>
      <w:proofErr w:type="spellStart"/>
      <w:r w:rsidRPr="00F173DC">
        <w:rPr>
          <w:sz w:val="19"/>
          <w:szCs w:val="19"/>
        </w:rPr>
        <w:t>Schaffner</w:t>
      </w:r>
      <w:proofErr w:type="spellEnd"/>
      <w:r w:rsidRPr="00F173DC">
        <w:rPr>
          <w:sz w:val="19"/>
          <w:szCs w:val="19"/>
        </w:rPr>
        <w:t xml:space="preserve"> Marx. The </w:t>
      </w:r>
      <w:proofErr w:type="gramStart"/>
      <w:r w:rsidRPr="00F173DC">
        <w:rPr>
          <w:sz w:val="19"/>
          <w:szCs w:val="19"/>
        </w:rPr>
        <w:t>privately-held</w:t>
      </w:r>
      <w:proofErr w:type="gramEnd"/>
      <w:r w:rsidRPr="00F173DC">
        <w:rPr>
          <w:sz w:val="19"/>
          <w:szCs w:val="19"/>
        </w:rPr>
        <w:t xml:space="preserve"> U.S.-based company, owned principally by SKNL, acquired the assets of the business formerly known as Hartmarx Corporation in August, 2009. </w:t>
      </w:r>
      <w:r w:rsidRPr="007C2FD0">
        <w:rPr>
          <w:b/>
          <w:sz w:val="19"/>
          <w:szCs w:val="19"/>
        </w:rPr>
        <w:t>Total revenue as of 31.12.2010 were</w:t>
      </w:r>
      <w:r>
        <w:rPr>
          <w:b/>
          <w:sz w:val="19"/>
          <w:szCs w:val="19"/>
        </w:rPr>
        <w:t xml:space="preserve"> approximately $350M</w:t>
      </w:r>
      <w:r w:rsidRPr="007C2FD0">
        <w:rPr>
          <w:b/>
          <w:sz w:val="19"/>
          <w:szCs w:val="19"/>
        </w:rPr>
        <w:t>;</w:t>
      </w:r>
    </w:p>
    <w:p w14:paraId="3916E4D2" w14:textId="77777777" w:rsidR="00B35ACF" w:rsidRDefault="00B35ACF" w:rsidP="00B35ACF">
      <w:pPr>
        <w:numPr>
          <w:ilvl w:val="0"/>
          <w:numId w:val="1"/>
        </w:numPr>
        <w:jc w:val="both"/>
        <w:textAlignment w:val="baseline"/>
        <w:rPr>
          <w:sz w:val="19"/>
          <w:szCs w:val="19"/>
        </w:rPr>
      </w:pPr>
      <w:r w:rsidRPr="00F173DC">
        <w:rPr>
          <w:sz w:val="19"/>
          <w:szCs w:val="19"/>
        </w:rPr>
        <w:t>Oversaw the monthly co</w:t>
      </w:r>
      <w:r>
        <w:rPr>
          <w:sz w:val="19"/>
          <w:szCs w:val="19"/>
        </w:rPr>
        <w:t>nsolidation</w:t>
      </w:r>
      <w:r w:rsidRPr="00F173DC">
        <w:rPr>
          <w:sz w:val="19"/>
          <w:szCs w:val="19"/>
        </w:rPr>
        <w:t xml:space="preserve"> under US GAAP and IFRS consisting of US, Canadian, Dutch and Polish</w:t>
      </w:r>
      <w:r>
        <w:rPr>
          <w:sz w:val="19"/>
          <w:szCs w:val="19"/>
        </w:rPr>
        <w:t xml:space="preserve"> entities</w:t>
      </w:r>
      <w:r w:rsidRPr="00F173DC">
        <w:rPr>
          <w:sz w:val="19"/>
          <w:szCs w:val="19"/>
        </w:rPr>
        <w:t xml:space="preserve"> and prepared analysis of the consolidated results. He provided technical accounting research and support regarding the adoption and implementation of all applicable new accounting pronouncements and regulatory requirements, including monitoring the development of proposed new accounting pronounceme</w:t>
      </w:r>
      <w:r>
        <w:rPr>
          <w:sz w:val="19"/>
          <w:szCs w:val="19"/>
        </w:rPr>
        <w:t>nts</w:t>
      </w:r>
      <w:r w:rsidRPr="00F173DC">
        <w:rPr>
          <w:sz w:val="19"/>
          <w:szCs w:val="19"/>
        </w:rPr>
        <w:t>. In addition he maintained and ensured the completeness and accuracy of the Company's Accounting Policies. Furthermore he performed reviews of contracts and o</w:t>
      </w:r>
      <w:r>
        <w:rPr>
          <w:sz w:val="19"/>
          <w:szCs w:val="19"/>
        </w:rPr>
        <w:t xml:space="preserve">ther documents </w:t>
      </w:r>
      <w:r w:rsidRPr="00F173DC">
        <w:rPr>
          <w:sz w:val="19"/>
          <w:szCs w:val="19"/>
        </w:rPr>
        <w:t xml:space="preserve">to ensure appropriate accounting and reporting treatment. </w:t>
      </w:r>
    </w:p>
    <w:p w14:paraId="3E5512A6" w14:textId="77777777" w:rsidR="00B35ACF" w:rsidRPr="00695502" w:rsidRDefault="00B35ACF" w:rsidP="00B35ACF">
      <w:pPr>
        <w:ind w:left="360"/>
        <w:jc w:val="both"/>
        <w:textAlignment w:val="baseline"/>
        <w:rPr>
          <w:sz w:val="19"/>
          <w:szCs w:val="19"/>
        </w:rPr>
      </w:pPr>
    </w:p>
    <w:p w14:paraId="60B93348" w14:textId="77777777" w:rsidR="00B35ACF" w:rsidRPr="00695502" w:rsidRDefault="00B35ACF" w:rsidP="00B35ACF">
      <w:pPr>
        <w:pStyle w:val="Heading1"/>
        <w:ind w:firstLine="360"/>
        <w:rPr>
          <w:sz w:val="19"/>
          <w:szCs w:val="19"/>
          <w:u w:val="single"/>
        </w:rPr>
      </w:pPr>
      <w:r w:rsidRPr="00F173DC">
        <w:rPr>
          <w:sz w:val="19"/>
          <w:szCs w:val="19"/>
          <w:u w:val="single"/>
        </w:rPr>
        <w:t xml:space="preserve">AFIAA (Swiss Foundation for International Real Estate) </w:t>
      </w:r>
      <w:proofErr w:type="gramStart"/>
      <w:r w:rsidRPr="00F173DC">
        <w:rPr>
          <w:sz w:val="19"/>
          <w:szCs w:val="19"/>
          <w:u w:val="single"/>
        </w:rPr>
        <w:t>NYC  2009</w:t>
      </w:r>
      <w:proofErr w:type="gramEnd"/>
      <w:r w:rsidRPr="00F173DC">
        <w:rPr>
          <w:sz w:val="19"/>
          <w:szCs w:val="19"/>
          <w:u w:val="single"/>
        </w:rPr>
        <w:t xml:space="preserve"> </w:t>
      </w:r>
      <w:r w:rsidRPr="00F173DC">
        <w:rPr>
          <w:bCs/>
          <w:i/>
          <w:sz w:val="19"/>
          <w:szCs w:val="19"/>
        </w:rPr>
        <w:t>Group Controller</w:t>
      </w:r>
    </w:p>
    <w:p w14:paraId="3BF14E36" w14:textId="77777777" w:rsidR="00B35ACF" w:rsidRPr="00472EB4" w:rsidRDefault="00B35ACF" w:rsidP="00B35ACF">
      <w:pPr>
        <w:numPr>
          <w:ilvl w:val="0"/>
          <w:numId w:val="1"/>
        </w:numPr>
        <w:tabs>
          <w:tab w:val="left" w:pos="-108"/>
        </w:tabs>
        <w:jc w:val="both"/>
        <w:rPr>
          <w:b/>
          <w:sz w:val="19"/>
          <w:szCs w:val="19"/>
        </w:rPr>
      </w:pPr>
      <w:r w:rsidRPr="00F173DC">
        <w:rPr>
          <w:sz w:val="19"/>
          <w:szCs w:val="19"/>
        </w:rPr>
        <w:t xml:space="preserve">AFIAA is a foundation that was established on the basis of the federal law on occupational pension funds. The purpose of the Foundation is the collective management of pension funds invested in international commercial real estate on behalf of their investors. The Foundation conducts business activities in Europe, Great Britain, the US, and Canada in commercial real estate. </w:t>
      </w:r>
      <w:r w:rsidRPr="00472EB4">
        <w:rPr>
          <w:b/>
          <w:sz w:val="19"/>
          <w:szCs w:val="19"/>
        </w:rPr>
        <w:t>Total assets in the US and Canada as of 31.12.2009 are approximately $130M;</w:t>
      </w:r>
    </w:p>
    <w:p w14:paraId="33524D87" w14:textId="77777777" w:rsidR="00B35ACF" w:rsidRDefault="00B35ACF" w:rsidP="00B35ACF">
      <w:pPr>
        <w:numPr>
          <w:ilvl w:val="0"/>
          <w:numId w:val="1"/>
        </w:numPr>
        <w:tabs>
          <w:tab w:val="left" w:pos="-108"/>
        </w:tabs>
        <w:jc w:val="both"/>
        <w:rPr>
          <w:sz w:val="19"/>
          <w:szCs w:val="19"/>
        </w:rPr>
      </w:pPr>
      <w:r w:rsidRPr="00F173DC">
        <w:rPr>
          <w:sz w:val="19"/>
          <w:szCs w:val="19"/>
        </w:rPr>
        <w:t xml:space="preserve">Coordinated concurrently the preparation of 7 US GAAP Financial statements, 5 Canadian Financial Statements, 3 Swiss Financial Statements under US GAAP and IFRS Reporting Packages for the parent Company with little supervision from the Group CFO based in Switzerland. </w:t>
      </w:r>
      <w:r>
        <w:rPr>
          <w:sz w:val="19"/>
          <w:szCs w:val="19"/>
        </w:rPr>
        <w:t xml:space="preserve">There was no CFO in the USA/Canada. </w:t>
      </w:r>
      <w:r w:rsidRPr="00F173DC">
        <w:rPr>
          <w:sz w:val="19"/>
          <w:szCs w:val="19"/>
        </w:rPr>
        <w:t>Supervised the tax matters of the US/Canadian entities; Reviewed the work performed by several outside service firm and provided guidance on the deliverables and on accounting matters and supervised the finance process; Supervised 5 property manager, 5 accounting managers and 10 accountants; Provided guidance regarding the application of IFRS ad US GAAP. Accomplished the issuance of a clean opinion by Ernst and Young (no adjustments). He oversaw the formalization of the internal control procedures in compliance with Sarbanes-Oxley Act. He was responsible for the whole Financial Statement Closing Process. In addition prepared monthly-quarterly deliverables for the Swiss Foundations investing in AFIAA and reviewed monthly the adjustments between US GAAP and IFRS;</w:t>
      </w:r>
    </w:p>
    <w:p w14:paraId="7774FAB3" w14:textId="77777777" w:rsidR="00B35ACF" w:rsidRDefault="00B35ACF" w:rsidP="00B35ACF">
      <w:pPr>
        <w:tabs>
          <w:tab w:val="left" w:pos="-108"/>
        </w:tabs>
        <w:ind w:left="360"/>
        <w:jc w:val="both"/>
        <w:rPr>
          <w:sz w:val="19"/>
          <w:szCs w:val="19"/>
        </w:rPr>
      </w:pPr>
    </w:p>
    <w:p w14:paraId="5DC289E1" w14:textId="77777777" w:rsidR="00B35ACF" w:rsidRPr="00695502" w:rsidRDefault="00B35ACF" w:rsidP="00B35ACF">
      <w:pPr>
        <w:pStyle w:val="Heading1"/>
        <w:rPr>
          <w:sz w:val="19"/>
          <w:szCs w:val="19"/>
          <w:u w:val="single"/>
        </w:rPr>
      </w:pPr>
      <w:r w:rsidRPr="00695502">
        <w:rPr>
          <w:sz w:val="19"/>
          <w:szCs w:val="19"/>
          <w:u w:val="single"/>
        </w:rPr>
        <w:t>Audit experience</w:t>
      </w:r>
      <w:r>
        <w:rPr>
          <w:sz w:val="19"/>
          <w:szCs w:val="19"/>
          <w:u w:val="single"/>
        </w:rPr>
        <w:t xml:space="preserve"> (10 years)</w:t>
      </w:r>
    </w:p>
    <w:p w14:paraId="0B306976" w14:textId="77777777" w:rsidR="00B35ACF" w:rsidRPr="00F173DC" w:rsidRDefault="00B35ACF" w:rsidP="00B35ACF">
      <w:pPr>
        <w:pStyle w:val="Heading1"/>
        <w:rPr>
          <w:sz w:val="19"/>
          <w:szCs w:val="19"/>
          <w:u w:val="single"/>
        </w:rPr>
      </w:pPr>
      <w:r w:rsidRPr="00F173DC">
        <w:rPr>
          <w:sz w:val="19"/>
          <w:szCs w:val="19"/>
          <w:u w:val="single"/>
        </w:rPr>
        <w:t xml:space="preserve">Ernst &amp; Young </w:t>
      </w:r>
      <w:proofErr w:type="gramStart"/>
      <w:r w:rsidRPr="00F173DC">
        <w:rPr>
          <w:sz w:val="19"/>
          <w:szCs w:val="19"/>
          <w:u w:val="single"/>
        </w:rPr>
        <w:t>2001  to</w:t>
      </w:r>
      <w:proofErr w:type="gramEnd"/>
      <w:r w:rsidRPr="00F173DC">
        <w:rPr>
          <w:sz w:val="19"/>
          <w:szCs w:val="19"/>
          <w:u w:val="single"/>
        </w:rPr>
        <w:t xml:space="preserve"> 2008  - KPMG, Milano, Italy from 1998 - 2001</w:t>
      </w:r>
    </w:p>
    <w:p w14:paraId="5B4A9CD9" w14:textId="77777777" w:rsidR="00B35ACF" w:rsidRPr="00F173DC" w:rsidRDefault="00B35ACF" w:rsidP="00B35ACF">
      <w:pPr>
        <w:pStyle w:val="Heading1"/>
        <w:jc w:val="both"/>
        <w:rPr>
          <w:bCs/>
          <w:i/>
          <w:sz w:val="19"/>
          <w:szCs w:val="19"/>
        </w:rPr>
      </w:pPr>
      <w:r w:rsidRPr="00F173DC">
        <w:rPr>
          <w:bCs/>
          <w:i/>
          <w:sz w:val="19"/>
          <w:szCs w:val="19"/>
        </w:rPr>
        <w:t>Ernst and Young New York - USA 3 years and a half (*) - Ernst and Young Milano, Italy</w:t>
      </w:r>
    </w:p>
    <w:p w14:paraId="58700786" w14:textId="77777777" w:rsidR="00B35ACF" w:rsidRPr="00F173DC" w:rsidRDefault="00B35ACF" w:rsidP="00B35ACF">
      <w:pPr>
        <w:pStyle w:val="Heading1"/>
        <w:rPr>
          <w:bCs/>
          <w:i/>
          <w:sz w:val="19"/>
          <w:szCs w:val="19"/>
        </w:rPr>
      </w:pPr>
      <w:r w:rsidRPr="00F173DC">
        <w:rPr>
          <w:bCs/>
          <w:i/>
          <w:sz w:val="19"/>
          <w:szCs w:val="19"/>
        </w:rPr>
        <w:t>Acting senior manager – Manager 3 (acted as senior managers on several accounts)</w:t>
      </w:r>
    </w:p>
    <w:p w14:paraId="5CDD7F96" w14:textId="77777777" w:rsidR="00B35ACF" w:rsidRPr="00F173DC" w:rsidRDefault="00B35ACF" w:rsidP="00B35ACF">
      <w:pPr>
        <w:numPr>
          <w:ilvl w:val="0"/>
          <w:numId w:val="1"/>
        </w:numPr>
        <w:jc w:val="both"/>
        <w:rPr>
          <w:sz w:val="19"/>
          <w:szCs w:val="19"/>
        </w:rPr>
      </w:pPr>
      <w:r w:rsidRPr="00F173DC">
        <w:rPr>
          <w:sz w:val="19"/>
          <w:szCs w:val="19"/>
        </w:rPr>
        <w:t xml:space="preserve">Significant expertise in the following </w:t>
      </w:r>
      <w:r w:rsidRPr="00F173DC">
        <w:rPr>
          <w:b/>
          <w:sz w:val="19"/>
          <w:szCs w:val="19"/>
        </w:rPr>
        <w:t>businesses</w:t>
      </w:r>
      <w:r w:rsidRPr="00F173DC">
        <w:rPr>
          <w:sz w:val="19"/>
          <w:szCs w:val="19"/>
        </w:rPr>
        <w:t>: Manufacturing, Telecommunication, Construction, Industrial, Temporary Employment, Publishing, Chemical, Media and entertainment, Real Estate/Private Equity, Energy, Retail, Software, Food &amp; Beverage;</w:t>
      </w:r>
    </w:p>
    <w:p w14:paraId="38748A83" w14:textId="77777777" w:rsidR="00B35ACF" w:rsidRPr="00F173DC" w:rsidRDefault="00B35ACF" w:rsidP="00B35ACF">
      <w:pPr>
        <w:numPr>
          <w:ilvl w:val="0"/>
          <w:numId w:val="1"/>
        </w:numPr>
        <w:jc w:val="both"/>
        <w:rPr>
          <w:sz w:val="19"/>
          <w:szCs w:val="19"/>
        </w:rPr>
      </w:pPr>
      <w:r w:rsidRPr="00F173DC">
        <w:rPr>
          <w:b/>
          <w:sz w:val="19"/>
          <w:szCs w:val="19"/>
        </w:rPr>
        <w:t xml:space="preserve">PUBLIC/FORTUNE </w:t>
      </w:r>
      <w:proofErr w:type="gramStart"/>
      <w:r w:rsidRPr="00F173DC">
        <w:rPr>
          <w:b/>
          <w:sz w:val="19"/>
          <w:szCs w:val="19"/>
        </w:rPr>
        <w:t>500  AUDIT</w:t>
      </w:r>
      <w:proofErr w:type="gramEnd"/>
      <w:r w:rsidRPr="00F173DC">
        <w:rPr>
          <w:b/>
          <w:sz w:val="19"/>
          <w:szCs w:val="19"/>
        </w:rPr>
        <w:t xml:space="preserve"> CLIENTS:</w:t>
      </w:r>
      <w:r w:rsidRPr="00F173DC">
        <w:rPr>
          <w:sz w:val="19"/>
          <w:szCs w:val="19"/>
        </w:rPr>
        <w:t xml:space="preserve"> My audit clients include </w:t>
      </w:r>
      <w:r w:rsidRPr="00F173DC">
        <w:rPr>
          <w:b/>
          <w:sz w:val="19"/>
          <w:szCs w:val="19"/>
        </w:rPr>
        <w:t>NINE US PUBLIC companies</w:t>
      </w:r>
      <w:r w:rsidRPr="00F173DC">
        <w:rPr>
          <w:sz w:val="19"/>
          <w:szCs w:val="19"/>
        </w:rPr>
        <w:t xml:space="preserve"> (Fila, ABB, Alstom Power, Arrow Electronics, Adecco, Disney, News Corporation, Coca Cola, McDonald’s), </w:t>
      </w:r>
      <w:r w:rsidRPr="00F173DC">
        <w:rPr>
          <w:b/>
          <w:sz w:val="19"/>
          <w:szCs w:val="19"/>
        </w:rPr>
        <w:t>FIVE</w:t>
      </w:r>
      <w:r w:rsidRPr="00F173DC">
        <w:rPr>
          <w:sz w:val="19"/>
          <w:szCs w:val="19"/>
        </w:rPr>
        <w:t xml:space="preserve"> (</w:t>
      </w:r>
      <w:proofErr w:type="spellStart"/>
      <w:r w:rsidRPr="00F173DC">
        <w:rPr>
          <w:sz w:val="19"/>
          <w:szCs w:val="19"/>
        </w:rPr>
        <w:t>Enel</w:t>
      </w:r>
      <w:proofErr w:type="spellEnd"/>
      <w:r w:rsidRPr="00F173DC">
        <w:rPr>
          <w:sz w:val="19"/>
          <w:szCs w:val="19"/>
        </w:rPr>
        <w:t xml:space="preserve">, Syngenta, </w:t>
      </w:r>
      <w:proofErr w:type="spellStart"/>
      <w:r w:rsidRPr="00F173DC">
        <w:rPr>
          <w:sz w:val="19"/>
          <w:szCs w:val="19"/>
        </w:rPr>
        <w:t>Montedison</w:t>
      </w:r>
      <w:proofErr w:type="spellEnd"/>
      <w:r w:rsidRPr="00F173DC">
        <w:rPr>
          <w:sz w:val="19"/>
          <w:szCs w:val="19"/>
        </w:rPr>
        <w:t xml:space="preserve">, </w:t>
      </w:r>
      <w:proofErr w:type="spellStart"/>
      <w:r w:rsidRPr="00F173DC">
        <w:rPr>
          <w:sz w:val="19"/>
          <w:szCs w:val="19"/>
        </w:rPr>
        <w:t>Snia</w:t>
      </w:r>
      <w:proofErr w:type="spellEnd"/>
      <w:r w:rsidRPr="00F173DC">
        <w:rPr>
          <w:sz w:val="19"/>
          <w:szCs w:val="19"/>
        </w:rPr>
        <w:t xml:space="preserve">, </w:t>
      </w:r>
      <w:proofErr w:type="spellStart"/>
      <w:r w:rsidRPr="00F173DC">
        <w:rPr>
          <w:sz w:val="19"/>
          <w:szCs w:val="19"/>
        </w:rPr>
        <w:t>Ing</w:t>
      </w:r>
      <w:proofErr w:type="spellEnd"/>
      <w:r w:rsidRPr="00F173DC">
        <w:rPr>
          <w:sz w:val="19"/>
          <w:szCs w:val="19"/>
        </w:rPr>
        <w:t xml:space="preserve">) are </w:t>
      </w:r>
      <w:r w:rsidRPr="00F173DC">
        <w:rPr>
          <w:b/>
          <w:sz w:val="19"/>
          <w:szCs w:val="19"/>
        </w:rPr>
        <w:t>PUBLIC in other European countries</w:t>
      </w:r>
      <w:r w:rsidRPr="00F173DC">
        <w:rPr>
          <w:sz w:val="19"/>
          <w:szCs w:val="19"/>
        </w:rPr>
        <w:t xml:space="preserve"> and </w:t>
      </w:r>
      <w:r w:rsidRPr="00F173DC">
        <w:rPr>
          <w:b/>
          <w:sz w:val="19"/>
          <w:szCs w:val="19"/>
        </w:rPr>
        <w:t>SIX FORTUNE 500</w:t>
      </w:r>
      <w:r w:rsidRPr="00F173DC">
        <w:rPr>
          <w:sz w:val="19"/>
          <w:szCs w:val="19"/>
        </w:rPr>
        <w:t xml:space="preserve"> companies  (</w:t>
      </w:r>
      <w:hyperlink r:id="rId8" w:history="1">
        <w:r w:rsidRPr="00F173DC">
          <w:rPr>
            <w:sz w:val="19"/>
            <w:szCs w:val="19"/>
          </w:rPr>
          <w:t>Arrow Electronics, Inc.</w:t>
        </w:r>
      </w:hyperlink>
      <w:r w:rsidRPr="00F173DC">
        <w:rPr>
          <w:sz w:val="19"/>
          <w:szCs w:val="19"/>
        </w:rPr>
        <w:t xml:space="preserve">, </w:t>
      </w:r>
      <w:hyperlink r:id="rId9" w:history="1">
        <w:r w:rsidRPr="00F173DC">
          <w:rPr>
            <w:sz w:val="19"/>
            <w:szCs w:val="19"/>
          </w:rPr>
          <w:t>Coca-Cola Enterprises Inc.</w:t>
        </w:r>
      </w:hyperlink>
      <w:r w:rsidRPr="00F173DC">
        <w:rPr>
          <w:sz w:val="19"/>
          <w:szCs w:val="19"/>
        </w:rPr>
        <w:t xml:space="preserve">, </w:t>
      </w:r>
      <w:hyperlink r:id="rId10" w:history="1">
        <w:r w:rsidRPr="00F173DC">
          <w:rPr>
            <w:sz w:val="19"/>
            <w:szCs w:val="19"/>
          </w:rPr>
          <w:t>McDonald's Corporation</w:t>
        </w:r>
      </w:hyperlink>
      <w:r w:rsidRPr="00F173DC">
        <w:rPr>
          <w:sz w:val="19"/>
          <w:szCs w:val="19"/>
        </w:rPr>
        <w:t xml:space="preserve">, </w:t>
      </w:r>
      <w:hyperlink r:id="rId11" w:history="1">
        <w:r w:rsidRPr="00F173DC">
          <w:rPr>
            <w:sz w:val="19"/>
            <w:szCs w:val="19"/>
          </w:rPr>
          <w:t>News Corporation</w:t>
        </w:r>
      </w:hyperlink>
      <w:r w:rsidRPr="00F173DC">
        <w:rPr>
          <w:sz w:val="19"/>
          <w:szCs w:val="19"/>
        </w:rPr>
        <w:t xml:space="preserve">, </w:t>
      </w:r>
      <w:hyperlink r:id="rId12" w:history="1">
        <w:r w:rsidRPr="00F173DC">
          <w:rPr>
            <w:sz w:val="19"/>
            <w:szCs w:val="19"/>
          </w:rPr>
          <w:t>Sealed Air Corporation</w:t>
        </w:r>
      </w:hyperlink>
      <w:r w:rsidRPr="00F173DC">
        <w:rPr>
          <w:sz w:val="19"/>
          <w:szCs w:val="19"/>
        </w:rPr>
        <w:t xml:space="preserve">, </w:t>
      </w:r>
      <w:hyperlink r:id="rId13" w:history="1">
        <w:r w:rsidRPr="00F173DC">
          <w:rPr>
            <w:sz w:val="19"/>
            <w:szCs w:val="19"/>
          </w:rPr>
          <w:t>The Walt Disney Company</w:t>
        </w:r>
      </w:hyperlink>
      <w:r w:rsidRPr="00F173DC">
        <w:rPr>
          <w:sz w:val="19"/>
          <w:szCs w:val="19"/>
        </w:rPr>
        <w:t>);</w:t>
      </w:r>
    </w:p>
    <w:p w14:paraId="69F2A871" w14:textId="77777777" w:rsidR="00B35ACF" w:rsidRPr="00F173DC" w:rsidRDefault="00B35ACF" w:rsidP="00B35ACF">
      <w:pPr>
        <w:numPr>
          <w:ilvl w:val="0"/>
          <w:numId w:val="1"/>
        </w:numPr>
        <w:jc w:val="both"/>
        <w:rPr>
          <w:sz w:val="19"/>
          <w:szCs w:val="19"/>
        </w:rPr>
      </w:pPr>
      <w:r w:rsidRPr="00F173DC">
        <w:rPr>
          <w:sz w:val="19"/>
          <w:szCs w:val="19"/>
        </w:rPr>
        <w:t xml:space="preserve">Significant expertise in </w:t>
      </w:r>
      <w:r w:rsidRPr="00F173DC">
        <w:rPr>
          <w:b/>
          <w:sz w:val="19"/>
          <w:szCs w:val="19"/>
        </w:rPr>
        <w:t>IFRS (11 years of experience)</w:t>
      </w:r>
      <w:r w:rsidRPr="00F173DC">
        <w:rPr>
          <w:sz w:val="19"/>
          <w:szCs w:val="19"/>
        </w:rPr>
        <w:t xml:space="preserve"> on public/multinational/billion dollar companies;</w:t>
      </w:r>
    </w:p>
    <w:p w14:paraId="1D34E3A0" w14:textId="77777777" w:rsidR="00B35ACF" w:rsidRPr="00F173DC" w:rsidRDefault="00B35ACF" w:rsidP="00B35ACF">
      <w:pPr>
        <w:numPr>
          <w:ilvl w:val="0"/>
          <w:numId w:val="1"/>
        </w:numPr>
        <w:jc w:val="both"/>
        <w:rPr>
          <w:sz w:val="19"/>
          <w:szCs w:val="19"/>
        </w:rPr>
      </w:pPr>
      <w:r w:rsidRPr="00F173DC">
        <w:rPr>
          <w:sz w:val="19"/>
          <w:szCs w:val="19"/>
        </w:rPr>
        <w:t xml:space="preserve">Gained significant experience in </w:t>
      </w:r>
      <w:r w:rsidRPr="00F173DC">
        <w:rPr>
          <w:b/>
          <w:sz w:val="19"/>
          <w:szCs w:val="19"/>
        </w:rPr>
        <w:t>SOX 404, U.S. GAAP</w:t>
      </w:r>
      <w:r w:rsidRPr="00F173DC">
        <w:rPr>
          <w:sz w:val="19"/>
          <w:szCs w:val="19"/>
        </w:rPr>
        <w:t xml:space="preserve">. He successfully reviewed all </w:t>
      </w:r>
      <w:r w:rsidRPr="00F173DC">
        <w:rPr>
          <w:b/>
          <w:sz w:val="19"/>
          <w:szCs w:val="19"/>
        </w:rPr>
        <w:t>client’s filings with the U.S. Securities and Exchange Commission including Forms 10-Q, 10-K, 20F</w:t>
      </w:r>
      <w:r w:rsidRPr="00F173DC">
        <w:rPr>
          <w:sz w:val="19"/>
          <w:szCs w:val="19"/>
        </w:rPr>
        <w:t xml:space="preserve">; </w:t>
      </w:r>
    </w:p>
    <w:p w14:paraId="110D2C2C" w14:textId="77777777" w:rsidR="00B35ACF" w:rsidRPr="00F173DC" w:rsidRDefault="00B35ACF" w:rsidP="00B35ACF">
      <w:pPr>
        <w:numPr>
          <w:ilvl w:val="0"/>
          <w:numId w:val="1"/>
        </w:numPr>
        <w:jc w:val="both"/>
        <w:rPr>
          <w:sz w:val="19"/>
          <w:szCs w:val="19"/>
        </w:rPr>
      </w:pPr>
      <w:r w:rsidRPr="00F173DC">
        <w:rPr>
          <w:sz w:val="19"/>
          <w:szCs w:val="19"/>
        </w:rPr>
        <w:t>Lead multiple client engagements concurrently and supervised client engagements with revenue up to $16 billion with audit fees up to US$13 million and successfully reviewed consolidated financial statements composed by 130 entities;</w:t>
      </w:r>
    </w:p>
    <w:p w14:paraId="41644C8E" w14:textId="77777777" w:rsidR="00B35ACF" w:rsidRPr="00F173DC" w:rsidRDefault="00B35ACF" w:rsidP="00B35ACF">
      <w:pPr>
        <w:numPr>
          <w:ilvl w:val="0"/>
          <w:numId w:val="1"/>
        </w:numPr>
        <w:jc w:val="both"/>
        <w:rPr>
          <w:sz w:val="19"/>
          <w:szCs w:val="19"/>
        </w:rPr>
      </w:pPr>
      <w:r w:rsidRPr="00F173DC">
        <w:rPr>
          <w:sz w:val="19"/>
          <w:szCs w:val="19"/>
        </w:rPr>
        <w:t>Supervised teams up to 60 auditors/professionals including managers (for example supervised 6 managers on Telecom Italia), seniors and staff and prepared performance evaluations for managers, senior and staff;</w:t>
      </w:r>
    </w:p>
    <w:p w14:paraId="3FD9C2BF" w14:textId="77777777" w:rsidR="00B35ACF" w:rsidRPr="00F173DC" w:rsidRDefault="00B35ACF" w:rsidP="00B35ACF">
      <w:pPr>
        <w:numPr>
          <w:ilvl w:val="0"/>
          <w:numId w:val="1"/>
        </w:numPr>
        <w:jc w:val="both"/>
        <w:rPr>
          <w:sz w:val="19"/>
          <w:szCs w:val="19"/>
        </w:rPr>
      </w:pPr>
      <w:r w:rsidRPr="00F173DC">
        <w:rPr>
          <w:sz w:val="19"/>
          <w:szCs w:val="19"/>
        </w:rPr>
        <w:t xml:space="preserve">Rated 5 out 5 by senior partners including Italy’s Country managing </w:t>
      </w:r>
      <w:proofErr w:type="gramStart"/>
      <w:r w:rsidRPr="00F173DC">
        <w:rPr>
          <w:sz w:val="19"/>
          <w:szCs w:val="19"/>
        </w:rPr>
        <w:t>partner(</w:t>
      </w:r>
      <w:proofErr w:type="gramEnd"/>
      <w:r w:rsidRPr="00F173DC">
        <w:rPr>
          <w:sz w:val="19"/>
          <w:szCs w:val="19"/>
        </w:rPr>
        <w:t>she can provide outstanding references);</w:t>
      </w:r>
    </w:p>
    <w:p w14:paraId="2010E717" w14:textId="77777777" w:rsidR="00B35ACF" w:rsidRPr="00F173DC" w:rsidRDefault="00B35ACF" w:rsidP="00B35ACF">
      <w:pPr>
        <w:ind w:firstLine="360"/>
        <w:rPr>
          <w:b/>
          <w:sz w:val="19"/>
          <w:szCs w:val="19"/>
        </w:rPr>
      </w:pPr>
      <w:r w:rsidRPr="00F173DC">
        <w:rPr>
          <w:b/>
          <w:sz w:val="19"/>
          <w:szCs w:val="19"/>
        </w:rPr>
        <w:t>Audit clients (Business – GAAP)</w:t>
      </w:r>
    </w:p>
    <w:p w14:paraId="437E1EB1" w14:textId="77777777" w:rsidR="00B35ACF" w:rsidRPr="00F173DC" w:rsidRDefault="00B35ACF" w:rsidP="00B35ACF">
      <w:pPr>
        <w:numPr>
          <w:ilvl w:val="1"/>
          <w:numId w:val="1"/>
        </w:numPr>
        <w:jc w:val="both"/>
        <w:rPr>
          <w:b/>
          <w:sz w:val="19"/>
          <w:szCs w:val="19"/>
        </w:rPr>
      </w:pPr>
      <w:r w:rsidRPr="00F173DC">
        <w:rPr>
          <w:b/>
          <w:sz w:val="19"/>
          <w:szCs w:val="19"/>
        </w:rPr>
        <w:t>Telecommunication:</w:t>
      </w:r>
      <w:r w:rsidRPr="00F173DC">
        <w:rPr>
          <w:sz w:val="19"/>
          <w:szCs w:val="19"/>
        </w:rPr>
        <w:t xml:space="preserve"> Verizon Wireless, (US GAAP), Telecom Italia (US GAAP/IFRS), Granite Corporation (US GAAP), Office Tiger (US GAAP);</w:t>
      </w:r>
    </w:p>
    <w:p w14:paraId="586C5520" w14:textId="77777777" w:rsidR="00B35ACF" w:rsidRPr="00F173DC" w:rsidRDefault="00B35ACF" w:rsidP="00B35ACF">
      <w:pPr>
        <w:numPr>
          <w:ilvl w:val="1"/>
          <w:numId w:val="1"/>
        </w:numPr>
        <w:jc w:val="both"/>
        <w:rPr>
          <w:sz w:val="19"/>
          <w:szCs w:val="19"/>
        </w:rPr>
      </w:pPr>
      <w:r w:rsidRPr="00F173DC">
        <w:rPr>
          <w:b/>
          <w:sz w:val="19"/>
          <w:szCs w:val="19"/>
        </w:rPr>
        <w:t>Construction</w:t>
      </w:r>
      <w:r w:rsidRPr="00F173DC">
        <w:rPr>
          <w:sz w:val="19"/>
          <w:szCs w:val="19"/>
        </w:rPr>
        <w:t>: ABB (US GAAP), Alstom Power (US GAAP);</w:t>
      </w:r>
    </w:p>
    <w:p w14:paraId="4F0A8AE2" w14:textId="77777777" w:rsidR="00B35ACF" w:rsidRPr="00F173DC" w:rsidRDefault="00B35ACF" w:rsidP="00B35ACF">
      <w:pPr>
        <w:numPr>
          <w:ilvl w:val="1"/>
          <w:numId w:val="1"/>
        </w:numPr>
        <w:jc w:val="both"/>
        <w:rPr>
          <w:sz w:val="19"/>
          <w:szCs w:val="19"/>
        </w:rPr>
      </w:pPr>
      <w:r w:rsidRPr="00F173DC">
        <w:rPr>
          <w:b/>
          <w:sz w:val="19"/>
          <w:szCs w:val="19"/>
        </w:rPr>
        <w:t>Industrial:</w:t>
      </w:r>
      <w:r w:rsidRPr="00F173DC">
        <w:rPr>
          <w:sz w:val="19"/>
          <w:szCs w:val="19"/>
        </w:rPr>
        <w:t xml:space="preserve"> Siemens (US GAAP, IFRS), Arrow (US GAAP); </w:t>
      </w:r>
      <w:proofErr w:type="spellStart"/>
      <w:r w:rsidRPr="00F173DC">
        <w:rPr>
          <w:sz w:val="19"/>
          <w:szCs w:val="19"/>
        </w:rPr>
        <w:t>Boehler</w:t>
      </w:r>
      <w:proofErr w:type="spellEnd"/>
      <w:r w:rsidRPr="00F173DC">
        <w:rPr>
          <w:sz w:val="19"/>
          <w:szCs w:val="19"/>
        </w:rPr>
        <w:t xml:space="preserve"> </w:t>
      </w:r>
      <w:proofErr w:type="spellStart"/>
      <w:r w:rsidRPr="00F173DC">
        <w:rPr>
          <w:sz w:val="19"/>
          <w:szCs w:val="19"/>
        </w:rPr>
        <w:t>Uddeholm</w:t>
      </w:r>
      <w:proofErr w:type="spellEnd"/>
      <w:r w:rsidRPr="00F173DC">
        <w:rPr>
          <w:sz w:val="19"/>
          <w:szCs w:val="19"/>
        </w:rPr>
        <w:t xml:space="preserve"> (IFRS), </w:t>
      </w:r>
      <w:proofErr w:type="spellStart"/>
      <w:r w:rsidRPr="00F173DC">
        <w:rPr>
          <w:sz w:val="19"/>
          <w:szCs w:val="19"/>
        </w:rPr>
        <w:t>Silverstart</w:t>
      </w:r>
      <w:proofErr w:type="spellEnd"/>
      <w:r w:rsidRPr="00F173DC">
        <w:rPr>
          <w:sz w:val="19"/>
          <w:szCs w:val="19"/>
        </w:rPr>
        <w:t xml:space="preserve"> (Arrow Group – US GAAP);</w:t>
      </w:r>
    </w:p>
    <w:p w14:paraId="627EED45" w14:textId="77777777" w:rsidR="00B35ACF" w:rsidRPr="00F173DC" w:rsidRDefault="00B35ACF" w:rsidP="00B35ACF">
      <w:pPr>
        <w:numPr>
          <w:ilvl w:val="1"/>
          <w:numId w:val="1"/>
        </w:numPr>
        <w:jc w:val="both"/>
        <w:rPr>
          <w:b/>
          <w:sz w:val="19"/>
          <w:szCs w:val="19"/>
        </w:rPr>
      </w:pPr>
      <w:r w:rsidRPr="00F173DC">
        <w:rPr>
          <w:b/>
          <w:sz w:val="19"/>
          <w:szCs w:val="19"/>
        </w:rPr>
        <w:t xml:space="preserve">Packaging: </w:t>
      </w:r>
      <w:r w:rsidRPr="00F173DC">
        <w:rPr>
          <w:sz w:val="19"/>
          <w:szCs w:val="19"/>
        </w:rPr>
        <w:t>Sealed Air Corporation (US GAAP);</w:t>
      </w:r>
    </w:p>
    <w:p w14:paraId="3A6162DB" w14:textId="77777777" w:rsidR="00B35ACF" w:rsidRPr="00F173DC" w:rsidRDefault="00B35ACF" w:rsidP="00B35ACF">
      <w:pPr>
        <w:numPr>
          <w:ilvl w:val="1"/>
          <w:numId w:val="1"/>
        </w:numPr>
        <w:jc w:val="both"/>
        <w:rPr>
          <w:sz w:val="19"/>
          <w:szCs w:val="19"/>
        </w:rPr>
      </w:pPr>
      <w:r w:rsidRPr="00F173DC">
        <w:rPr>
          <w:b/>
          <w:sz w:val="19"/>
          <w:szCs w:val="19"/>
        </w:rPr>
        <w:t>Temporary Employment:</w:t>
      </w:r>
      <w:r w:rsidRPr="00F173DC">
        <w:rPr>
          <w:sz w:val="19"/>
          <w:szCs w:val="19"/>
        </w:rPr>
        <w:t xml:space="preserve"> Adecco (US GAAP);</w:t>
      </w:r>
    </w:p>
    <w:p w14:paraId="451A4FE3" w14:textId="77777777" w:rsidR="00B35ACF" w:rsidRPr="00F173DC" w:rsidRDefault="00B35ACF" w:rsidP="00B35ACF">
      <w:pPr>
        <w:numPr>
          <w:ilvl w:val="1"/>
          <w:numId w:val="1"/>
        </w:numPr>
        <w:jc w:val="both"/>
        <w:rPr>
          <w:sz w:val="19"/>
          <w:szCs w:val="19"/>
        </w:rPr>
      </w:pPr>
      <w:r w:rsidRPr="00F173DC">
        <w:rPr>
          <w:b/>
          <w:sz w:val="19"/>
          <w:szCs w:val="19"/>
        </w:rPr>
        <w:t>Publishing:</w:t>
      </w:r>
      <w:r w:rsidRPr="00F173DC">
        <w:rPr>
          <w:sz w:val="19"/>
          <w:szCs w:val="19"/>
        </w:rPr>
        <w:t xml:space="preserve"> Disney (US GAAP), </w:t>
      </w:r>
      <w:proofErr w:type="spellStart"/>
      <w:r w:rsidRPr="00F173DC">
        <w:rPr>
          <w:sz w:val="19"/>
          <w:szCs w:val="19"/>
        </w:rPr>
        <w:t>Holtzbrink</w:t>
      </w:r>
      <w:proofErr w:type="spellEnd"/>
      <w:r w:rsidRPr="00F173DC">
        <w:rPr>
          <w:sz w:val="19"/>
          <w:szCs w:val="19"/>
        </w:rPr>
        <w:t xml:space="preserve"> (IFRS), WW Norton (US GAAP), RCS GROUP (IFRS);</w:t>
      </w:r>
    </w:p>
    <w:p w14:paraId="1D7799A0" w14:textId="77777777" w:rsidR="00B35ACF" w:rsidRPr="00F173DC" w:rsidRDefault="00B35ACF" w:rsidP="00B35ACF">
      <w:pPr>
        <w:numPr>
          <w:ilvl w:val="1"/>
          <w:numId w:val="1"/>
        </w:numPr>
        <w:jc w:val="both"/>
        <w:rPr>
          <w:sz w:val="19"/>
          <w:szCs w:val="19"/>
        </w:rPr>
      </w:pPr>
      <w:r w:rsidRPr="00F173DC">
        <w:rPr>
          <w:b/>
          <w:sz w:val="19"/>
          <w:szCs w:val="19"/>
        </w:rPr>
        <w:t>Chemical:</w:t>
      </w:r>
      <w:r w:rsidRPr="00F173DC">
        <w:rPr>
          <w:sz w:val="19"/>
          <w:szCs w:val="19"/>
        </w:rPr>
        <w:t xml:space="preserve"> Syngenta (IFRS), </w:t>
      </w:r>
      <w:proofErr w:type="spellStart"/>
      <w:r w:rsidRPr="00F173DC">
        <w:rPr>
          <w:sz w:val="19"/>
          <w:szCs w:val="19"/>
        </w:rPr>
        <w:t>Montedison</w:t>
      </w:r>
      <w:proofErr w:type="spellEnd"/>
      <w:r w:rsidRPr="00F173DC">
        <w:rPr>
          <w:sz w:val="19"/>
          <w:szCs w:val="19"/>
        </w:rPr>
        <w:t xml:space="preserve"> (Italian </w:t>
      </w:r>
      <w:proofErr w:type="spellStart"/>
      <w:r w:rsidRPr="00F173DC">
        <w:rPr>
          <w:sz w:val="19"/>
          <w:szCs w:val="19"/>
        </w:rPr>
        <w:t>Gaap</w:t>
      </w:r>
      <w:proofErr w:type="spellEnd"/>
      <w:r w:rsidRPr="00F173DC">
        <w:rPr>
          <w:sz w:val="19"/>
          <w:szCs w:val="19"/>
        </w:rPr>
        <w:t xml:space="preserve">), </w:t>
      </w:r>
      <w:proofErr w:type="spellStart"/>
      <w:r w:rsidRPr="00F173DC">
        <w:rPr>
          <w:sz w:val="19"/>
          <w:szCs w:val="19"/>
        </w:rPr>
        <w:t>Snia</w:t>
      </w:r>
      <w:proofErr w:type="spellEnd"/>
      <w:r w:rsidRPr="00F173DC">
        <w:rPr>
          <w:sz w:val="19"/>
          <w:szCs w:val="19"/>
        </w:rPr>
        <w:t xml:space="preserve"> (Italian </w:t>
      </w:r>
      <w:proofErr w:type="spellStart"/>
      <w:r w:rsidRPr="00F173DC">
        <w:rPr>
          <w:sz w:val="19"/>
          <w:szCs w:val="19"/>
        </w:rPr>
        <w:t>Gaap</w:t>
      </w:r>
      <w:proofErr w:type="spellEnd"/>
      <w:r w:rsidRPr="00F173DC">
        <w:rPr>
          <w:sz w:val="19"/>
          <w:szCs w:val="19"/>
        </w:rPr>
        <w:t xml:space="preserve">), </w:t>
      </w:r>
      <w:proofErr w:type="spellStart"/>
      <w:r w:rsidRPr="00F173DC">
        <w:rPr>
          <w:sz w:val="19"/>
          <w:szCs w:val="19"/>
        </w:rPr>
        <w:t>Ausimont</w:t>
      </w:r>
      <w:proofErr w:type="spellEnd"/>
      <w:r w:rsidRPr="00F173DC">
        <w:rPr>
          <w:sz w:val="19"/>
          <w:szCs w:val="19"/>
        </w:rPr>
        <w:t xml:space="preserve"> (Italian </w:t>
      </w:r>
      <w:proofErr w:type="spellStart"/>
      <w:r w:rsidRPr="00F173DC">
        <w:rPr>
          <w:sz w:val="19"/>
          <w:szCs w:val="19"/>
        </w:rPr>
        <w:t>Gaap</w:t>
      </w:r>
      <w:proofErr w:type="spellEnd"/>
      <w:r w:rsidRPr="00F173DC">
        <w:rPr>
          <w:sz w:val="19"/>
          <w:szCs w:val="19"/>
        </w:rPr>
        <w:t xml:space="preserve">); </w:t>
      </w:r>
    </w:p>
    <w:p w14:paraId="104D40A8" w14:textId="77777777" w:rsidR="00B35ACF" w:rsidRPr="00F173DC" w:rsidRDefault="00B35ACF" w:rsidP="00B35ACF">
      <w:pPr>
        <w:numPr>
          <w:ilvl w:val="1"/>
          <w:numId w:val="1"/>
        </w:numPr>
        <w:jc w:val="both"/>
        <w:rPr>
          <w:sz w:val="19"/>
          <w:szCs w:val="19"/>
        </w:rPr>
      </w:pPr>
      <w:r w:rsidRPr="00F173DC">
        <w:rPr>
          <w:b/>
          <w:sz w:val="19"/>
          <w:szCs w:val="19"/>
        </w:rPr>
        <w:t>Media and entertainment</w:t>
      </w:r>
      <w:r w:rsidRPr="00F173DC">
        <w:rPr>
          <w:sz w:val="19"/>
          <w:szCs w:val="19"/>
        </w:rPr>
        <w:t xml:space="preserve">: News Corporation (US GAAP), NBA </w:t>
      </w:r>
      <w:proofErr w:type="gramStart"/>
      <w:r w:rsidRPr="00F173DC">
        <w:rPr>
          <w:sz w:val="19"/>
          <w:szCs w:val="19"/>
        </w:rPr>
        <w:t>-  National</w:t>
      </w:r>
      <w:proofErr w:type="gramEnd"/>
      <w:r w:rsidRPr="00F173DC">
        <w:rPr>
          <w:sz w:val="19"/>
          <w:szCs w:val="19"/>
        </w:rPr>
        <w:t xml:space="preserve"> Basketball Association (US GAAP) WNBA – Women National Basketball Association (US GAAP);</w:t>
      </w:r>
    </w:p>
    <w:p w14:paraId="7EB622FA" w14:textId="77777777" w:rsidR="00B35ACF" w:rsidRPr="00F173DC" w:rsidRDefault="00B35ACF" w:rsidP="00B35ACF">
      <w:pPr>
        <w:numPr>
          <w:ilvl w:val="1"/>
          <w:numId w:val="1"/>
        </w:numPr>
        <w:jc w:val="both"/>
        <w:rPr>
          <w:sz w:val="19"/>
          <w:szCs w:val="19"/>
        </w:rPr>
      </w:pPr>
      <w:r w:rsidRPr="00F173DC">
        <w:rPr>
          <w:b/>
          <w:sz w:val="19"/>
          <w:szCs w:val="19"/>
        </w:rPr>
        <w:t>Real Estate/Private Equity:</w:t>
      </w:r>
      <w:r w:rsidRPr="00F173DC">
        <w:rPr>
          <w:sz w:val="19"/>
          <w:szCs w:val="19"/>
        </w:rPr>
        <w:t xml:space="preserve"> </w:t>
      </w:r>
      <w:proofErr w:type="spellStart"/>
      <w:r w:rsidRPr="00F173DC">
        <w:rPr>
          <w:sz w:val="19"/>
          <w:szCs w:val="19"/>
        </w:rPr>
        <w:t>Ing</w:t>
      </w:r>
      <w:proofErr w:type="spellEnd"/>
      <w:r w:rsidRPr="00F173DC">
        <w:rPr>
          <w:sz w:val="19"/>
          <w:szCs w:val="19"/>
        </w:rPr>
        <w:t xml:space="preserve"> Clarion 13 funds (IFRS - US GAAP), Fortress 4 funds (US GAAP);</w:t>
      </w:r>
    </w:p>
    <w:p w14:paraId="2C68C8A2" w14:textId="77777777" w:rsidR="00B35ACF" w:rsidRPr="00F173DC" w:rsidRDefault="00B35ACF" w:rsidP="00B35ACF">
      <w:pPr>
        <w:numPr>
          <w:ilvl w:val="1"/>
          <w:numId w:val="1"/>
        </w:numPr>
        <w:jc w:val="both"/>
        <w:rPr>
          <w:b/>
          <w:sz w:val="19"/>
          <w:szCs w:val="19"/>
        </w:rPr>
      </w:pPr>
      <w:r w:rsidRPr="00F173DC">
        <w:rPr>
          <w:b/>
          <w:sz w:val="19"/>
          <w:szCs w:val="19"/>
        </w:rPr>
        <w:t xml:space="preserve">Energy: </w:t>
      </w:r>
      <w:proofErr w:type="spellStart"/>
      <w:r w:rsidRPr="00F173DC">
        <w:rPr>
          <w:sz w:val="19"/>
          <w:szCs w:val="19"/>
        </w:rPr>
        <w:t>Enel</w:t>
      </w:r>
      <w:proofErr w:type="spellEnd"/>
      <w:r w:rsidRPr="00F173DC">
        <w:rPr>
          <w:sz w:val="19"/>
          <w:szCs w:val="19"/>
        </w:rPr>
        <w:t xml:space="preserve"> (Italian </w:t>
      </w:r>
      <w:proofErr w:type="spellStart"/>
      <w:r w:rsidRPr="00F173DC">
        <w:rPr>
          <w:sz w:val="19"/>
          <w:szCs w:val="19"/>
        </w:rPr>
        <w:t>Gaap</w:t>
      </w:r>
      <w:proofErr w:type="spellEnd"/>
      <w:r w:rsidRPr="00F173DC">
        <w:rPr>
          <w:sz w:val="19"/>
          <w:szCs w:val="19"/>
        </w:rPr>
        <w:t>);</w:t>
      </w:r>
    </w:p>
    <w:p w14:paraId="4AE5B369" w14:textId="77777777" w:rsidR="00B35ACF" w:rsidRPr="00F173DC" w:rsidRDefault="00B35ACF" w:rsidP="00B35ACF">
      <w:pPr>
        <w:numPr>
          <w:ilvl w:val="1"/>
          <w:numId w:val="1"/>
        </w:numPr>
        <w:jc w:val="both"/>
        <w:rPr>
          <w:b/>
          <w:sz w:val="19"/>
          <w:szCs w:val="19"/>
        </w:rPr>
      </w:pPr>
      <w:r w:rsidRPr="00F173DC">
        <w:rPr>
          <w:b/>
          <w:sz w:val="19"/>
          <w:szCs w:val="19"/>
        </w:rPr>
        <w:t xml:space="preserve">Retail: </w:t>
      </w:r>
      <w:r w:rsidRPr="00F173DC">
        <w:rPr>
          <w:sz w:val="19"/>
          <w:szCs w:val="19"/>
        </w:rPr>
        <w:t xml:space="preserve">Fila (US GAAP), </w:t>
      </w:r>
      <w:proofErr w:type="spellStart"/>
      <w:r w:rsidRPr="00F173DC">
        <w:rPr>
          <w:sz w:val="19"/>
          <w:szCs w:val="19"/>
        </w:rPr>
        <w:t>Mondial</w:t>
      </w:r>
      <w:proofErr w:type="spellEnd"/>
      <w:r w:rsidRPr="00F173DC">
        <w:rPr>
          <w:sz w:val="19"/>
          <w:szCs w:val="19"/>
        </w:rPr>
        <w:t xml:space="preserve"> – C&amp;A Group (IFRS);</w:t>
      </w:r>
    </w:p>
    <w:p w14:paraId="6920A4B3" w14:textId="77777777" w:rsidR="00B35ACF" w:rsidRPr="00F173DC" w:rsidRDefault="00B35ACF" w:rsidP="00B35ACF">
      <w:pPr>
        <w:numPr>
          <w:ilvl w:val="1"/>
          <w:numId w:val="1"/>
        </w:numPr>
        <w:jc w:val="both"/>
        <w:rPr>
          <w:b/>
          <w:sz w:val="19"/>
          <w:szCs w:val="19"/>
        </w:rPr>
      </w:pPr>
      <w:r w:rsidRPr="00F173DC">
        <w:rPr>
          <w:b/>
          <w:sz w:val="19"/>
          <w:szCs w:val="19"/>
        </w:rPr>
        <w:t xml:space="preserve">Software: </w:t>
      </w:r>
      <w:r w:rsidRPr="00F173DC">
        <w:rPr>
          <w:sz w:val="19"/>
          <w:szCs w:val="19"/>
        </w:rPr>
        <w:t xml:space="preserve">ABB (US GAAP), Invensys (US GAAP); </w:t>
      </w:r>
      <w:proofErr w:type="spellStart"/>
      <w:r w:rsidRPr="00F173DC">
        <w:rPr>
          <w:sz w:val="19"/>
          <w:szCs w:val="19"/>
        </w:rPr>
        <w:t>Linedata</w:t>
      </w:r>
      <w:proofErr w:type="spellEnd"/>
      <w:r w:rsidRPr="00F173DC">
        <w:rPr>
          <w:sz w:val="19"/>
          <w:szCs w:val="19"/>
        </w:rPr>
        <w:t xml:space="preserve"> Service (IFRS);</w:t>
      </w:r>
    </w:p>
    <w:p w14:paraId="245B53E6" w14:textId="77777777" w:rsidR="00B35ACF" w:rsidRPr="00F173DC" w:rsidRDefault="00B35ACF" w:rsidP="00B35ACF">
      <w:pPr>
        <w:numPr>
          <w:ilvl w:val="1"/>
          <w:numId w:val="1"/>
        </w:numPr>
        <w:jc w:val="both"/>
        <w:rPr>
          <w:sz w:val="19"/>
          <w:szCs w:val="19"/>
        </w:rPr>
      </w:pPr>
      <w:r w:rsidRPr="00F173DC">
        <w:rPr>
          <w:b/>
          <w:sz w:val="19"/>
          <w:szCs w:val="19"/>
        </w:rPr>
        <w:t xml:space="preserve">Food &amp; Beverage: </w:t>
      </w:r>
      <w:r w:rsidRPr="00F173DC">
        <w:rPr>
          <w:sz w:val="19"/>
          <w:szCs w:val="19"/>
        </w:rPr>
        <w:t>Coca Cola (US GAAP), McDonald’s (US GAAP);</w:t>
      </w:r>
    </w:p>
    <w:p w14:paraId="5EAE7578" w14:textId="77777777" w:rsidR="00B35ACF" w:rsidRPr="00F173DC" w:rsidRDefault="00B35ACF" w:rsidP="00B35ACF">
      <w:pPr>
        <w:numPr>
          <w:ilvl w:val="1"/>
          <w:numId w:val="1"/>
        </w:numPr>
        <w:jc w:val="both"/>
        <w:rPr>
          <w:b/>
          <w:sz w:val="19"/>
          <w:szCs w:val="19"/>
        </w:rPr>
      </w:pPr>
      <w:r w:rsidRPr="00F173DC">
        <w:rPr>
          <w:b/>
          <w:sz w:val="19"/>
          <w:szCs w:val="19"/>
        </w:rPr>
        <w:t xml:space="preserve">Law firms: </w:t>
      </w:r>
      <w:hyperlink r:id="rId14" w:history="1">
        <w:r w:rsidRPr="00F173DC">
          <w:rPr>
            <w:sz w:val="19"/>
            <w:szCs w:val="19"/>
          </w:rPr>
          <w:t>Cleary Gottlieb Steen &amp; Hamilton LLP</w:t>
        </w:r>
      </w:hyperlink>
      <w:r w:rsidRPr="00F173DC">
        <w:rPr>
          <w:sz w:val="19"/>
          <w:szCs w:val="19"/>
        </w:rPr>
        <w:t xml:space="preserve"> (US GAAP);</w:t>
      </w:r>
    </w:p>
    <w:p w14:paraId="65DD7168" w14:textId="77777777" w:rsidR="00B35ACF" w:rsidRPr="00F173DC" w:rsidRDefault="00B35ACF" w:rsidP="00B35ACF">
      <w:pPr>
        <w:numPr>
          <w:ilvl w:val="0"/>
          <w:numId w:val="1"/>
        </w:numPr>
        <w:tabs>
          <w:tab w:val="left" w:pos="-108"/>
        </w:tabs>
        <w:jc w:val="both"/>
        <w:rPr>
          <w:sz w:val="19"/>
          <w:szCs w:val="19"/>
        </w:rPr>
      </w:pPr>
      <w:r w:rsidRPr="00F173DC">
        <w:rPr>
          <w:sz w:val="19"/>
          <w:szCs w:val="19"/>
        </w:rPr>
        <w:t>Planned, coordinated and served as acting senior manager on financial statement audit of both public and private companies in the USA and in Italy reporting under</w:t>
      </w:r>
      <w:r w:rsidRPr="00F173DC">
        <w:rPr>
          <w:b/>
          <w:sz w:val="19"/>
          <w:szCs w:val="19"/>
        </w:rPr>
        <w:t xml:space="preserve"> US GAAP and IFRS</w:t>
      </w:r>
      <w:r w:rsidRPr="00F173DC">
        <w:rPr>
          <w:sz w:val="19"/>
          <w:szCs w:val="19"/>
        </w:rPr>
        <w:t xml:space="preserve">;  </w:t>
      </w:r>
    </w:p>
    <w:p w14:paraId="7B54836F" w14:textId="77777777" w:rsidR="00B35ACF" w:rsidRPr="00F173DC" w:rsidRDefault="00B35ACF" w:rsidP="00B35ACF">
      <w:pPr>
        <w:numPr>
          <w:ilvl w:val="0"/>
          <w:numId w:val="1"/>
        </w:numPr>
        <w:jc w:val="both"/>
        <w:rPr>
          <w:sz w:val="19"/>
          <w:szCs w:val="19"/>
        </w:rPr>
      </w:pPr>
      <w:r w:rsidRPr="00F173DC">
        <w:rPr>
          <w:sz w:val="19"/>
          <w:szCs w:val="19"/>
        </w:rPr>
        <w:t xml:space="preserve">Successfully implemented </w:t>
      </w:r>
      <w:r w:rsidRPr="00F173DC">
        <w:rPr>
          <w:b/>
          <w:sz w:val="19"/>
          <w:szCs w:val="19"/>
        </w:rPr>
        <w:t>Sarbanes-Oxley Act (404)</w:t>
      </w:r>
      <w:r w:rsidRPr="00F173DC">
        <w:rPr>
          <w:sz w:val="19"/>
          <w:szCs w:val="19"/>
        </w:rPr>
        <w:t xml:space="preserve"> at two multinational clients (Telecom Italia, one of the biggest telecommunication companies in Europe, and Verizon Wireless). He prepared deliverables, including worldwide audit instructions, audit strategy memorandum for both transaction and entity level controls, scoping for more than 130 entities for Sarbanes-Oxley Act (404) purposes, reviewed all the processes walk through narratives, results of the test of controls. In addition he was in charge of the technical research and reported directly to EY Country managing partner. On Telecom Italia (total revenue were approximately 16 billion) he supervised a team of 50 auditors including 4 managers;</w:t>
      </w:r>
    </w:p>
    <w:p w14:paraId="744345A9" w14:textId="77777777" w:rsidR="00B35ACF" w:rsidRPr="00F173DC" w:rsidRDefault="00B35ACF" w:rsidP="00B35ACF">
      <w:pPr>
        <w:numPr>
          <w:ilvl w:val="0"/>
          <w:numId w:val="1"/>
        </w:numPr>
        <w:jc w:val="both"/>
        <w:rPr>
          <w:sz w:val="19"/>
          <w:szCs w:val="19"/>
        </w:rPr>
      </w:pPr>
      <w:r w:rsidRPr="00F173DC">
        <w:rPr>
          <w:sz w:val="19"/>
          <w:szCs w:val="19"/>
        </w:rPr>
        <w:t>Successfully reviewed complex Consolidated Financial Statements (130 entities consolidated for one of his biggest clients);</w:t>
      </w:r>
    </w:p>
    <w:p w14:paraId="53D46CD7" w14:textId="77777777" w:rsidR="00B35ACF" w:rsidRPr="00F173DC" w:rsidRDefault="00B35ACF" w:rsidP="00B35ACF">
      <w:pPr>
        <w:numPr>
          <w:ilvl w:val="0"/>
          <w:numId w:val="1"/>
        </w:numPr>
        <w:jc w:val="both"/>
        <w:rPr>
          <w:sz w:val="19"/>
          <w:szCs w:val="19"/>
        </w:rPr>
      </w:pPr>
      <w:r w:rsidRPr="00F173DC">
        <w:rPr>
          <w:sz w:val="19"/>
          <w:szCs w:val="19"/>
        </w:rPr>
        <w:t>Held internal training (IFRS, US GAAP, EY Audit Methodology) for senior and staff and prepared training material for trainers;</w:t>
      </w:r>
    </w:p>
    <w:p w14:paraId="1760451B" w14:textId="77777777" w:rsidR="00B35ACF" w:rsidRPr="00F173DC" w:rsidRDefault="00B35ACF" w:rsidP="00B35ACF">
      <w:pPr>
        <w:numPr>
          <w:ilvl w:val="0"/>
          <w:numId w:val="1"/>
        </w:numPr>
        <w:jc w:val="both"/>
        <w:rPr>
          <w:sz w:val="19"/>
          <w:szCs w:val="19"/>
        </w:rPr>
      </w:pPr>
      <w:r w:rsidRPr="00F173DC">
        <w:rPr>
          <w:sz w:val="19"/>
          <w:szCs w:val="19"/>
        </w:rPr>
        <w:t>Lead meetings with EY senior partners (including Country Managing partner), international audit teams and client’s top management. Furthermore he identified performance improvement opportunities for the clients, participated in the development and generation of new services;</w:t>
      </w:r>
    </w:p>
    <w:p w14:paraId="6347DDD8" w14:textId="77777777" w:rsidR="00B35ACF" w:rsidRPr="00F173DC" w:rsidRDefault="00B35ACF" w:rsidP="00B35ACF">
      <w:pPr>
        <w:numPr>
          <w:ilvl w:val="0"/>
          <w:numId w:val="1"/>
        </w:numPr>
        <w:jc w:val="both"/>
        <w:rPr>
          <w:sz w:val="19"/>
          <w:szCs w:val="19"/>
        </w:rPr>
      </w:pPr>
      <w:r w:rsidRPr="00F173DC">
        <w:rPr>
          <w:sz w:val="19"/>
          <w:szCs w:val="19"/>
        </w:rPr>
        <w:t xml:space="preserve">Took ownership and full responsibility for all phases of engagements of several Ernst &amp; Young top clients and developed and maintained productive relationships with </w:t>
      </w:r>
      <w:r w:rsidRPr="00F173DC">
        <w:rPr>
          <w:sz w:val="19"/>
          <w:szCs w:val="19"/>
        </w:rPr>
        <w:fldChar w:fldCharType="begin"/>
      </w:r>
      <w:r w:rsidRPr="00F173DC">
        <w:rPr>
          <w:sz w:val="19"/>
          <w:szCs w:val="19"/>
        </w:rPr>
        <w:instrText>HYPERLINK "http://oddskills.com/job/audit-manager-real-estate/7766?utm_source=Indeed&amp;utm_medium=organic&amp;utm_campaign=Indeed" \t "_top"</w:instrText>
      </w:r>
      <w:r w:rsidRPr="00F173DC">
        <w:rPr>
          <w:sz w:val="19"/>
          <w:szCs w:val="19"/>
        </w:rPr>
        <w:fldChar w:fldCharType="separate"/>
      </w:r>
      <w:r w:rsidRPr="00F173DC">
        <w:rPr>
          <w:sz w:val="19"/>
          <w:szCs w:val="19"/>
        </w:rPr>
        <w:t>client management</w:t>
      </w:r>
      <w:r w:rsidRPr="00F173DC">
        <w:rPr>
          <w:sz w:val="19"/>
          <w:szCs w:val="19"/>
        </w:rPr>
        <w:fldChar w:fldCharType="end"/>
      </w:r>
      <w:r w:rsidRPr="00F173DC">
        <w:rPr>
          <w:sz w:val="19"/>
          <w:szCs w:val="19"/>
        </w:rPr>
        <w:t xml:space="preserve"> throughout the year;</w:t>
      </w:r>
    </w:p>
    <w:p w14:paraId="57169AC8" w14:textId="77777777" w:rsidR="00B35ACF" w:rsidRPr="00F173DC" w:rsidRDefault="00B35ACF" w:rsidP="00B35ACF">
      <w:pPr>
        <w:numPr>
          <w:ilvl w:val="0"/>
          <w:numId w:val="1"/>
        </w:numPr>
        <w:jc w:val="both"/>
        <w:rPr>
          <w:sz w:val="19"/>
          <w:szCs w:val="19"/>
        </w:rPr>
      </w:pPr>
      <w:r w:rsidRPr="00F173DC">
        <w:rPr>
          <w:sz w:val="19"/>
          <w:szCs w:val="19"/>
        </w:rPr>
        <w:t>Reviewed the deliverables of local and international audit teams (France, Brazil, Germany) prior to the senior partner review and provided guidance on accounting matters. Furthermore he monitored the work in progress of the audit, preparation of budgets, managing engagement economics;</w:t>
      </w:r>
    </w:p>
    <w:p w14:paraId="193CD967" w14:textId="77777777" w:rsidR="00B35ACF" w:rsidRPr="00F173DC" w:rsidRDefault="00B35ACF" w:rsidP="00B35ACF">
      <w:pPr>
        <w:numPr>
          <w:ilvl w:val="0"/>
          <w:numId w:val="1"/>
        </w:numPr>
        <w:jc w:val="both"/>
        <w:rPr>
          <w:sz w:val="19"/>
          <w:szCs w:val="19"/>
        </w:rPr>
      </w:pPr>
      <w:r w:rsidRPr="00F173DC">
        <w:rPr>
          <w:sz w:val="19"/>
          <w:szCs w:val="19"/>
        </w:rPr>
        <w:t>Provided guidance regarding to the application of the EY Audit Methodology to managers, senior, staff;</w:t>
      </w:r>
    </w:p>
    <w:p w14:paraId="4E6D09BA" w14:textId="77777777" w:rsidR="00B35ACF" w:rsidRPr="00F173DC" w:rsidRDefault="00B35ACF" w:rsidP="00B35ACF">
      <w:pPr>
        <w:numPr>
          <w:ilvl w:val="0"/>
          <w:numId w:val="1"/>
        </w:numPr>
        <w:jc w:val="both"/>
        <w:rPr>
          <w:sz w:val="19"/>
          <w:szCs w:val="19"/>
        </w:rPr>
      </w:pPr>
      <w:r w:rsidRPr="00F173DC">
        <w:rPr>
          <w:sz w:val="19"/>
          <w:szCs w:val="19"/>
        </w:rPr>
        <w:t>Successfully prepared Financial Statements and Consolidated Financial Statements (Including Footnotes) under IFRS and US GAAP and successfully performed two frauds audits;</w:t>
      </w:r>
    </w:p>
    <w:p w14:paraId="481AFF15" w14:textId="77777777" w:rsidR="00B35ACF" w:rsidRPr="00F173DC" w:rsidRDefault="00B35ACF" w:rsidP="00B35ACF">
      <w:pPr>
        <w:jc w:val="both"/>
        <w:rPr>
          <w:sz w:val="19"/>
          <w:szCs w:val="19"/>
        </w:rPr>
      </w:pPr>
    </w:p>
    <w:p w14:paraId="4EB8B2A7" w14:textId="77777777" w:rsidR="00B35ACF" w:rsidRPr="00F173DC" w:rsidRDefault="00B35ACF" w:rsidP="00B35ACF">
      <w:pPr>
        <w:pStyle w:val="Heading1"/>
        <w:rPr>
          <w:sz w:val="19"/>
          <w:szCs w:val="19"/>
        </w:rPr>
      </w:pPr>
      <w:r w:rsidRPr="00F173DC">
        <w:rPr>
          <w:sz w:val="19"/>
          <w:szCs w:val="19"/>
        </w:rPr>
        <w:t>Education</w:t>
      </w:r>
    </w:p>
    <w:p w14:paraId="1EAA8B55" w14:textId="77777777" w:rsidR="00B35ACF" w:rsidRPr="00F173DC" w:rsidRDefault="00B35ACF" w:rsidP="00B35ACF">
      <w:pPr>
        <w:jc w:val="both"/>
        <w:rPr>
          <w:b/>
          <w:sz w:val="19"/>
          <w:szCs w:val="19"/>
          <w:lang w:val="it-IT"/>
        </w:rPr>
      </w:pPr>
      <w:r w:rsidRPr="00F173DC">
        <w:rPr>
          <w:b/>
          <w:sz w:val="19"/>
          <w:szCs w:val="19"/>
          <w:lang w:val="it-IT"/>
        </w:rPr>
        <w:t>10/1991-12/1997</w:t>
      </w:r>
      <w:proofErr w:type="gramStart"/>
      <w:r w:rsidRPr="00F173DC">
        <w:rPr>
          <w:b/>
          <w:sz w:val="19"/>
          <w:szCs w:val="19"/>
          <w:lang w:val="it-IT"/>
        </w:rPr>
        <w:t xml:space="preserve">  </w:t>
      </w:r>
      <w:proofErr w:type="gramEnd"/>
      <w:r w:rsidRPr="00F173DC">
        <w:rPr>
          <w:b/>
          <w:sz w:val="19"/>
          <w:szCs w:val="19"/>
          <w:lang w:val="it-IT"/>
        </w:rPr>
        <w:t xml:space="preserve">-  Università Cattolica Sacro Cuore, </w:t>
      </w:r>
      <w:proofErr w:type="spellStart"/>
      <w:r w:rsidRPr="00F173DC">
        <w:rPr>
          <w:b/>
          <w:sz w:val="19"/>
          <w:szCs w:val="19"/>
          <w:lang w:val="it-IT"/>
        </w:rPr>
        <w:t>Facolta’</w:t>
      </w:r>
      <w:proofErr w:type="spellEnd"/>
      <w:r w:rsidRPr="00F173DC">
        <w:rPr>
          <w:b/>
          <w:sz w:val="19"/>
          <w:szCs w:val="19"/>
          <w:lang w:val="it-IT"/>
        </w:rPr>
        <w:t xml:space="preserve"> </w:t>
      </w:r>
      <w:proofErr w:type="spellStart"/>
      <w:r w:rsidRPr="00F173DC">
        <w:rPr>
          <w:b/>
          <w:sz w:val="19"/>
          <w:szCs w:val="19"/>
          <w:lang w:val="it-IT"/>
        </w:rPr>
        <w:t>Ec</w:t>
      </w:r>
      <w:proofErr w:type="spellEnd"/>
      <w:r w:rsidRPr="00F173DC">
        <w:rPr>
          <w:b/>
          <w:sz w:val="19"/>
          <w:szCs w:val="19"/>
          <w:lang w:val="it-IT"/>
        </w:rPr>
        <w:t xml:space="preserve">. e Commercio Milano, </w:t>
      </w:r>
      <w:proofErr w:type="spellStart"/>
      <w:r w:rsidRPr="00F173DC">
        <w:rPr>
          <w:b/>
          <w:sz w:val="19"/>
          <w:szCs w:val="19"/>
          <w:lang w:val="it-IT"/>
        </w:rPr>
        <w:t>Italy</w:t>
      </w:r>
      <w:proofErr w:type="spellEnd"/>
      <w:r w:rsidRPr="00F173DC">
        <w:rPr>
          <w:b/>
          <w:sz w:val="19"/>
          <w:szCs w:val="19"/>
          <w:lang w:val="it-IT"/>
        </w:rPr>
        <w:t xml:space="preserve"> - </w:t>
      </w:r>
      <w:r w:rsidRPr="00F173DC">
        <w:rPr>
          <w:b/>
          <w:sz w:val="19"/>
          <w:szCs w:val="19"/>
        </w:rPr>
        <w:t xml:space="preserve">U.S. Degree Equivalency: </w:t>
      </w:r>
      <w:r w:rsidRPr="00F173DC">
        <w:rPr>
          <w:sz w:val="19"/>
          <w:szCs w:val="19"/>
          <w:u w:val="single"/>
        </w:rPr>
        <w:t>Bachelor’s and master’s degrees in business and  economics</w:t>
      </w:r>
      <w:r w:rsidRPr="00F173DC">
        <w:rPr>
          <w:sz w:val="19"/>
          <w:szCs w:val="19"/>
        </w:rPr>
        <w:t xml:space="preserve"> (title recognized in the USA, converted by World Education Services, Inc. one of the two companies in the US entitled to perform the conversion of foreign credits into American ones); </w:t>
      </w:r>
      <w:r w:rsidRPr="00F173DC">
        <w:rPr>
          <w:b/>
          <w:sz w:val="19"/>
          <w:szCs w:val="19"/>
        </w:rPr>
        <w:t xml:space="preserve">Concentrations: </w:t>
      </w:r>
      <w:r w:rsidRPr="00F173DC">
        <w:rPr>
          <w:sz w:val="19"/>
          <w:szCs w:val="19"/>
        </w:rPr>
        <w:t xml:space="preserve">Accounting, Tax Law, Auditing, and Mergers &amp; Acquisitions; </w:t>
      </w:r>
      <w:r w:rsidRPr="00F173DC">
        <w:rPr>
          <w:b/>
          <w:sz w:val="19"/>
          <w:szCs w:val="19"/>
        </w:rPr>
        <w:t>Dissertation:</w:t>
      </w:r>
      <w:r w:rsidRPr="00F173DC">
        <w:rPr>
          <w:sz w:val="19"/>
          <w:szCs w:val="19"/>
        </w:rPr>
        <w:t xml:space="preserve"> “Company Reorganizations”.</w:t>
      </w:r>
    </w:p>
    <w:p w14:paraId="0FB00D7B" w14:textId="77777777" w:rsidR="00B35ACF" w:rsidRPr="00F173DC" w:rsidRDefault="00B35ACF" w:rsidP="00B35ACF">
      <w:pPr>
        <w:tabs>
          <w:tab w:val="num" w:pos="1800"/>
        </w:tabs>
        <w:ind w:left="1800" w:right="-82"/>
        <w:rPr>
          <w:sz w:val="19"/>
          <w:szCs w:val="19"/>
          <w:lang w:val="it-IT"/>
        </w:rPr>
      </w:pPr>
    </w:p>
    <w:p w14:paraId="7001D3BD" w14:textId="77777777" w:rsidR="00B35ACF" w:rsidRPr="00F173DC" w:rsidRDefault="00B35ACF" w:rsidP="00B35ACF">
      <w:pPr>
        <w:jc w:val="both"/>
        <w:rPr>
          <w:b/>
          <w:sz w:val="19"/>
          <w:szCs w:val="19"/>
          <w:lang w:val="it-IT"/>
        </w:rPr>
      </w:pPr>
      <w:r w:rsidRPr="00F173DC">
        <w:rPr>
          <w:b/>
          <w:sz w:val="19"/>
          <w:szCs w:val="19"/>
          <w:lang w:val="it-IT"/>
        </w:rPr>
        <w:t xml:space="preserve">10/1986-07/1991 - Istituto Tecnico “Cesare Battisti”, Bolzano, </w:t>
      </w:r>
      <w:proofErr w:type="spellStart"/>
      <w:r w:rsidRPr="00F173DC">
        <w:rPr>
          <w:b/>
          <w:sz w:val="19"/>
          <w:szCs w:val="19"/>
          <w:lang w:val="it-IT"/>
        </w:rPr>
        <w:t>Italy</w:t>
      </w:r>
      <w:proofErr w:type="spellEnd"/>
      <w:r w:rsidRPr="00F173DC">
        <w:rPr>
          <w:b/>
          <w:sz w:val="19"/>
          <w:szCs w:val="19"/>
          <w:lang w:val="it-IT"/>
        </w:rPr>
        <w:t xml:space="preserve"> - </w:t>
      </w:r>
      <w:r w:rsidRPr="00F173DC">
        <w:rPr>
          <w:b/>
          <w:sz w:val="19"/>
          <w:szCs w:val="19"/>
        </w:rPr>
        <w:t xml:space="preserve">U.S. Degree Equivalency: </w:t>
      </w:r>
      <w:r w:rsidRPr="00F173DC">
        <w:rPr>
          <w:sz w:val="19"/>
          <w:szCs w:val="19"/>
        </w:rPr>
        <w:t xml:space="preserve">Diploma of accountant and business expert associate Degree in </w:t>
      </w:r>
      <w:proofErr w:type="gramStart"/>
      <w:r w:rsidRPr="00F173DC">
        <w:rPr>
          <w:sz w:val="19"/>
          <w:szCs w:val="19"/>
        </w:rPr>
        <w:t>Accounting</w:t>
      </w:r>
      <w:proofErr w:type="gramEnd"/>
      <w:r w:rsidRPr="00F173DC">
        <w:rPr>
          <w:sz w:val="19"/>
          <w:szCs w:val="19"/>
        </w:rPr>
        <w:t>;</w:t>
      </w:r>
    </w:p>
    <w:p w14:paraId="1124F25F" w14:textId="77777777" w:rsidR="00B35ACF" w:rsidRPr="00F173DC" w:rsidRDefault="00B35ACF" w:rsidP="00B35ACF">
      <w:pPr>
        <w:pStyle w:val="BodyText"/>
        <w:spacing w:before="120" w:after="0" w:line="240" w:lineRule="auto"/>
        <w:outlineLvl w:val="6"/>
        <w:rPr>
          <w:rFonts w:ascii="Times New Roman" w:hAnsi="Times New Roman"/>
          <w:sz w:val="19"/>
          <w:szCs w:val="19"/>
        </w:rPr>
      </w:pPr>
      <w:r w:rsidRPr="00F173DC">
        <w:rPr>
          <w:rFonts w:ascii="Times New Roman" w:eastAsia="Arial Unicode MS" w:hAnsi="Times New Roman"/>
          <w:b/>
          <w:sz w:val="19"/>
          <w:szCs w:val="19"/>
        </w:rPr>
        <w:t>Additional Languages:</w:t>
      </w:r>
      <w:r w:rsidRPr="00F173DC">
        <w:rPr>
          <w:rFonts w:ascii="Times New Roman" w:hAnsi="Times New Roman"/>
          <w:b/>
          <w:sz w:val="19"/>
          <w:szCs w:val="19"/>
        </w:rPr>
        <w:t xml:space="preserve"> </w:t>
      </w:r>
      <w:r w:rsidRPr="00F173DC">
        <w:rPr>
          <w:rFonts w:ascii="Times New Roman" w:hAnsi="Times New Roman"/>
          <w:sz w:val="19"/>
          <w:szCs w:val="19"/>
        </w:rPr>
        <w:t>German (fluent), Italian (mother tongue);</w:t>
      </w:r>
    </w:p>
    <w:p w14:paraId="5172F1F7" w14:textId="77777777" w:rsidR="00B35ACF" w:rsidRPr="00F173DC" w:rsidRDefault="00B35ACF" w:rsidP="00B35ACF">
      <w:pPr>
        <w:pStyle w:val="BodyText"/>
        <w:spacing w:before="120" w:after="0" w:line="240" w:lineRule="auto"/>
        <w:outlineLvl w:val="6"/>
        <w:rPr>
          <w:rFonts w:ascii="Times New Roman" w:hAnsi="Times New Roman"/>
          <w:sz w:val="19"/>
          <w:szCs w:val="19"/>
        </w:rPr>
      </w:pPr>
      <w:r w:rsidRPr="00F173DC">
        <w:rPr>
          <w:rFonts w:ascii="Times New Roman" w:eastAsia="Arial Unicode MS" w:hAnsi="Times New Roman"/>
          <w:b/>
          <w:sz w:val="19"/>
          <w:szCs w:val="19"/>
        </w:rPr>
        <w:t>CPA:</w:t>
      </w:r>
      <w:r w:rsidRPr="00F173DC">
        <w:rPr>
          <w:rFonts w:ascii="Times New Roman" w:hAnsi="Times New Roman"/>
          <w:sz w:val="19"/>
          <w:szCs w:val="19"/>
        </w:rPr>
        <w:t xml:space="preserve"> State of New Hampshire</w:t>
      </w:r>
      <w:r>
        <w:rPr>
          <w:rFonts w:ascii="Times New Roman" w:hAnsi="Times New Roman"/>
          <w:sz w:val="19"/>
          <w:szCs w:val="19"/>
        </w:rPr>
        <w:t xml:space="preserve"> / </w:t>
      </w:r>
      <w:r w:rsidRPr="00F173DC">
        <w:rPr>
          <w:rFonts w:ascii="Times New Roman" w:eastAsia="Arial Unicode MS" w:hAnsi="Times New Roman"/>
          <w:b/>
          <w:sz w:val="19"/>
          <w:szCs w:val="19"/>
        </w:rPr>
        <w:t>CIA:</w:t>
      </w:r>
      <w:r w:rsidRPr="00F173DC">
        <w:rPr>
          <w:rFonts w:ascii="Times New Roman" w:hAnsi="Times New Roman"/>
          <w:sz w:val="19"/>
          <w:szCs w:val="19"/>
        </w:rPr>
        <w:t xml:space="preserve"> Certified Internal Auditor</w:t>
      </w:r>
    </w:p>
    <w:p w14:paraId="41B96733" w14:textId="77777777" w:rsidR="00B35ACF" w:rsidRPr="00F173DC" w:rsidRDefault="00B35ACF" w:rsidP="00B35ACF">
      <w:pPr>
        <w:rPr>
          <w:b/>
          <w:sz w:val="19"/>
          <w:szCs w:val="19"/>
        </w:rPr>
      </w:pPr>
      <w:r w:rsidRPr="00F173DC">
        <w:rPr>
          <w:b/>
          <w:sz w:val="19"/>
          <w:szCs w:val="19"/>
        </w:rPr>
        <w:t xml:space="preserve">(*) </w:t>
      </w:r>
      <w:proofErr w:type="gramStart"/>
      <w:r w:rsidRPr="00F173DC">
        <w:rPr>
          <w:sz w:val="19"/>
          <w:szCs w:val="19"/>
        </w:rPr>
        <w:t>from</w:t>
      </w:r>
      <w:proofErr w:type="gramEnd"/>
      <w:r w:rsidRPr="00F173DC">
        <w:rPr>
          <w:sz w:val="19"/>
          <w:szCs w:val="19"/>
        </w:rPr>
        <w:t xml:space="preserve"> 2006 to 2008 (permanent hire) and from 2003 to 2005 (part of  an exchange program Milano)</w:t>
      </w:r>
    </w:p>
    <w:p w14:paraId="00B8DA89" w14:textId="77777777" w:rsidR="00B35ACF" w:rsidRPr="00F173DC" w:rsidRDefault="00B35ACF" w:rsidP="00B35ACF">
      <w:pPr>
        <w:rPr>
          <w:sz w:val="19"/>
          <w:szCs w:val="19"/>
        </w:rPr>
      </w:pPr>
    </w:p>
    <w:p w14:paraId="4EA4666D" w14:textId="77777777" w:rsidR="00731B39" w:rsidRDefault="00731B39"/>
    <w:sectPr w:rsidR="00731B39" w:rsidSect="00731B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60D8C"/>
    <w:multiLevelType w:val="hybridMultilevel"/>
    <w:tmpl w:val="9FF0440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ACF"/>
    <w:rsid w:val="003246F1"/>
    <w:rsid w:val="00617D68"/>
    <w:rsid w:val="00731B39"/>
    <w:rsid w:val="007D4973"/>
    <w:rsid w:val="00865881"/>
    <w:rsid w:val="00AD170C"/>
    <w:rsid w:val="00B35ACF"/>
    <w:rsid w:val="00B564D1"/>
    <w:rsid w:val="00B65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8F3D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ACF"/>
    <w:rPr>
      <w:rFonts w:ascii="Times New Roman" w:eastAsia="Times New Roman" w:hAnsi="Times New Roman" w:cs="Times New Roman"/>
    </w:rPr>
  </w:style>
  <w:style w:type="paragraph" w:styleId="Heading1">
    <w:name w:val="heading 1"/>
    <w:basedOn w:val="Normal"/>
    <w:next w:val="Normal"/>
    <w:link w:val="Heading1Char"/>
    <w:qFormat/>
    <w:rsid w:val="00B35ACF"/>
    <w:pPr>
      <w:keepNext/>
      <w:outlineLvl w:val="0"/>
    </w:pPr>
    <w:rPr>
      <w:rFonts w:eastAsia="Arial Unicode M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5ACF"/>
    <w:rPr>
      <w:rFonts w:ascii="Times New Roman" w:eastAsia="Arial Unicode MS" w:hAnsi="Times New Roman" w:cs="Times New Roman"/>
      <w:b/>
      <w:szCs w:val="20"/>
    </w:rPr>
  </w:style>
  <w:style w:type="paragraph" w:styleId="BodyText">
    <w:name w:val="Body Text"/>
    <w:basedOn w:val="Normal"/>
    <w:link w:val="BodyTextChar"/>
    <w:rsid w:val="00B35ACF"/>
    <w:pPr>
      <w:spacing w:after="220" w:line="240" w:lineRule="atLeast"/>
      <w:jc w:val="both"/>
    </w:pPr>
    <w:rPr>
      <w:rFonts w:ascii="Garamond" w:hAnsi="Garamond"/>
      <w:sz w:val="22"/>
      <w:szCs w:val="20"/>
    </w:rPr>
  </w:style>
  <w:style w:type="character" w:customStyle="1" w:styleId="BodyTextChar">
    <w:name w:val="Body Text Char"/>
    <w:basedOn w:val="DefaultParagraphFont"/>
    <w:link w:val="BodyText"/>
    <w:rsid w:val="00B35ACF"/>
    <w:rPr>
      <w:rFonts w:ascii="Garamond" w:eastAsia="Times New Roman" w:hAnsi="Garamond" w:cs="Times New Roman"/>
      <w:sz w:val="22"/>
      <w:szCs w:val="20"/>
    </w:rPr>
  </w:style>
  <w:style w:type="character" w:styleId="Hyperlink">
    <w:name w:val="Hyperlink"/>
    <w:uiPriority w:val="99"/>
    <w:unhideWhenUsed/>
    <w:rsid w:val="00B35ACF"/>
    <w:rPr>
      <w:color w:val="0000CC"/>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ACF"/>
    <w:rPr>
      <w:rFonts w:ascii="Times New Roman" w:eastAsia="Times New Roman" w:hAnsi="Times New Roman" w:cs="Times New Roman"/>
    </w:rPr>
  </w:style>
  <w:style w:type="paragraph" w:styleId="Heading1">
    <w:name w:val="heading 1"/>
    <w:basedOn w:val="Normal"/>
    <w:next w:val="Normal"/>
    <w:link w:val="Heading1Char"/>
    <w:qFormat/>
    <w:rsid w:val="00B35ACF"/>
    <w:pPr>
      <w:keepNext/>
      <w:outlineLvl w:val="0"/>
    </w:pPr>
    <w:rPr>
      <w:rFonts w:eastAsia="Arial Unicode M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5ACF"/>
    <w:rPr>
      <w:rFonts w:ascii="Times New Roman" w:eastAsia="Arial Unicode MS" w:hAnsi="Times New Roman" w:cs="Times New Roman"/>
      <w:b/>
      <w:szCs w:val="20"/>
    </w:rPr>
  </w:style>
  <w:style w:type="paragraph" w:styleId="BodyText">
    <w:name w:val="Body Text"/>
    <w:basedOn w:val="Normal"/>
    <w:link w:val="BodyTextChar"/>
    <w:rsid w:val="00B35ACF"/>
    <w:pPr>
      <w:spacing w:after="220" w:line="240" w:lineRule="atLeast"/>
      <w:jc w:val="both"/>
    </w:pPr>
    <w:rPr>
      <w:rFonts w:ascii="Garamond" w:hAnsi="Garamond"/>
      <w:sz w:val="22"/>
      <w:szCs w:val="20"/>
    </w:rPr>
  </w:style>
  <w:style w:type="character" w:customStyle="1" w:styleId="BodyTextChar">
    <w:name w:val="Body Text Char"/>
    <w:basedOn w:val="DefaultParagraphFont"/>
    <w:link w:val="BodyText"/>
    <w:rsid w:val="00B35ACF"/>
    <w:rPr>
      <w:rFonts w:ascii="Garamond" w:eastAsia="Times New Roman" w:hAnsi="Garamond" w:cs="Times New Roman"/>
      <w:sz w:val="22"/>
      <w:szCs w:val="20"/>
    </w:rPr>
  </w:style>
  <w:style w:type="character" w:styleId="Hyperlink">
    <w:name w:val="Hyperlink"/>
    <w:uiPriority w:val="99"/>
    <w:unhideWhenUsed/>
    <w:rsid w:val="00B35ACF"/>
    <w:rPr>
      <w:color w:val="0000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oovers.com/news-corp./--ID__41816--/free-co-factsheet.xhtml" TargetMode="External"/><Relationship Id="rId12" Type="http://schemas.openxmlformats.org/officeDocument/2006/relationships/hyperlink" Target="http://www.hoovers.com/sealed-air-corp./--ID__11337--/free-co-factsheet.xhtml" TargetMode="External"/><Relationship Id="rId13" Type="http://schemas.openxmlformats.org/officeDocument/2006/relationships/hyperlink" Target="http://www.hoovers.com/disney/--ID__11603--/free-co-factsheet.xhtml" TargetMode="External"/><Relationship Id="rId14" Type="http://schemas.openxmlformats.org/officeDocument/2006/relationships/hyperlink" Target="http://www.cgsh.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y.com/GL/en/Newsroom/News-releases/News_Felice-Persico-appointed-EY-Global-Assurance-Leader" TargetMode="External"/><Relationship Id="rId7" Type="http://schemas.openxmlformats.org/officeDocument/2006/relationships/hyperlink" Target="mailto:fabriziorotondi@live.com" TargetMode="External"/><Relationship Id="rId8" Type="http://schemas.openxmlformats.org/officeDocument/2006/relationships/hyperlink" Target="http://www.hoovers.com/arrow-electronics/--ID__10130--/free-co-factsheet.xhtml" TargetMode="External"/><Relationship Id="rId9" Type="http://schemas.openxmlformats.org/officeDocument/2006/relationships/hyperlink" Target="http://www.hoovers.com/coca-cola-enterprises/--ID__10360--/free-co-factsheet.xhtml" TargetMode="External"/><Relationship Id="rId10" Type="http://schemas.openxmlformats.org/officeDocument/2006/relationships/hyperlink" Target="http://www.hoovers.com/mcdonalds/--ID__10974--/free-co-factsheet.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2224</Words>
  <Characters>12682</Characters>
  <Application>Microsoft Macintosh Word</Application>
  <DocSecurity>0</DocSecurity>
  <Lines>105</Lines>
  <Paragraphs>29</Paragraphs>
  <ScaleCrop>false</ScaleCrop>
  <Company/>
  <LinksUpToDate>false</LinksUpToDate>
  <CharactersWithSpaces>14877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rotondi</dc:creator>
  <cp:keywords/>
  <dc:description/>
  <cp:lastModifiedBy>fabrizio rotondi</cp:lastModifiedBy>
  <cp:revision>8</cp:revision>
  <dcterms:created xsi:type="dcterms:W3CDTF">2013-08-07T12:22:00Z</dcterms:created>
  <dcterms:modified xsi:type="dcterms:W3CDTF">2013-11-23T14:26:00Z</dcterms:modified>
</cp:coreProperties>
</file>