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Luma Green Launch Test Plan</w:t>
      </w:r>
    </w:p>
    <w:p>
      <w:pPr>
        <w:spacing w:after="160"/>
        <w:ind w:left="202"/>
      </w:pPr>
      <w:r>
        <w:t>Status: approved work plan; local execution in progress. Updated 7 October 2026. Target decision: Saturday 10 October 2026, Asia/Kolkata. Owners: founder, test lead and engineer. Assign named people before the first run.</w:t>
      </w:r>
    </w:p>
    <w:p>
      <w:r>
        <w:t>This plan covers the accounts, roles, material chain, payment boundaries and release checks for the requested Luma.Green launch. Launch only the scope that has complete test evidence and working required providers. Saturday is a target, not a promise that the full platform or external approvals will be ready. Keep each incomplete flow in the result log as BLOCKED or NOT RUN. Do not remove it from the plan to obtain a pass. The founder must explicitly accept any smaller release scope and its visible limitations.</w:t>
      </w:r>
    </w:p>
    <w:p>
      <w:r>
        <w:t>The engineer may continue the approved implementation without another plan approval. Section 13 records the completed checks and the remaining gates. The approved normal-user methods are verified email/password and phone OTP. All development verification and disposable accounts in this test pass must remain local.</w:t>
      </w:r>
    </w:p>
    <w:p>
      <w:pPr>
        <w:pStyle w:val="Heading1"/>
      </w:pPr>
      <w:r>
        <w:t>1 Current state and release boundaries</w:t>
      </w:r>
    </w:p>
    <w:p>
      <w:pPr>
        <w:pStyle w:val="ListBullet"/>
      </w:pPr>
      <w:r>
        <w:t xml:space="preserve">The 6 October handoff records both cloud Convex deployments as empty and paused after the approved reset. Preserve their recovery exports. A local anonymous Convex process has started at </w:t>
      </w:r>
      <w:r>
        <w:rPr>
          <w:rFonts w:ascii="Liberation Mono" w:hAnsi="Liberation Mono"/>
          <w:sz w:val="17"/>
        </w:rPr>
        <w:t>127.0.0.1:3210</w:t>
      </w:r>
      <w:r>
        <w:t xml:space="preserve"> with HTTP actions at </w:t>
      </w:r>
      <w:r>
        <w:rPr>
          <w:rFonts w:ascii="Liberation Mono" w:hAnsi="Liberation Mono"/>
          <w:sz w:val="17"/>
        </w:rPr>
        <w:t>127.0.0.1:3211</w:t>
      </w:r>
      <w:r>
        <w:t>; a running process is not proof that auth or storage works.</w:t>
      </w:r>
    </w:p>
    <w:p>
      <w:pPr>
        <w:pStyle w:val="ListBullet"/>
      </w:pPr>
      <w:r>
        <w:t>Email signup, workspace permissions, invitations and lot/quality screens are implemented in the integration worktree. The complete post-bridge suite passed 55 of 55 browser cases against the local production build on 7 October. Both TypeScript checks passed; final capture review, guide rebuild, whole-project checks, CI and release checks remain in progress. Section 13 records the scope of each result. Earlier fixture captures do not prove current authenticated behavior.</w:t>
      </w:r>
    </w:p>
    <w:p>
      <w:pPr>
        <w:pStyle w:val="ListBullet"/>
      </w:pPr>
      <w:r>
        <w:t>A kabadiwala buys from and pays a household directly. Luma records the receipt but does not transfer household funds.</w:t>
      </w:r>
    </w:p>
    <w:p>
      <w:pPr>
        <w:pStyle w:val="ListBullet"/>
      </w:pPr>
      <w:r>
        <w:t>Cashfree Payment Gateway with Easy Split was selected on 6 October under the founder's delegated choice. Sandbox and guarded live checkout, delivery, refund and settlement controls are implemented. The backend passed 137 focused tests and independent review; the UI passed 50 focused tests, and the combined local browser suite passed 55 of 55 cases. Provider eligibility, real provider acceptance and activation remain pending. Local tests must confirm that payment-dependent actions stay blocked. A manual paid flag, uploaded proof or simulated escrow must not unlock them.</w:t>
      </w:r>
    </w:p>
    <w:p>
      <w:pPr>
        <w:pStyle w:val="ListBullet"/>
      </w:pPr>
      <w:r>
        <w:t>PET custody and quality records are evidence. They do not create stock, process yield, legal approval, payment or certificates by themselves.</w:t>
      </w:r>
    </w:p>
    <w:p>
      <w:pPr>
        <w:pStyle w:val="ListBullet"/>
      </w:pPr>
      <w:r>
        <w:t xml:space="preserve">The new plan supersedes old demo-pay and next-role-only expectations in the older team test manual. Keep useful older cases, but apply the current </w:t>
      </w:r>
      <w:hyperlink r:id="rId9">
        <w:r>
          <w:rPr>
            <w:u w:val="single"/>
          </w:rPr>
          <w:t>requirements record</w:t>
        </w:r>
      </w:hyperlink>
      <w:r>
        <w:t xml:space="preserve"> and </w:t>
      </w:r>
      <w:hyperlink r:id="rId10">
        <w:r>
          <w:rPr>
            <w:u w:val="single"/>
          </w:rPr>
          <w:t>gateway decision</w:t>
        </w:r>
      </w:hyperlink>
      <w:r>
        <w:t>.</w:t>
      </w:r>
    </w:p>
    <w:p>
      <w:pPr>
        <w:pStyle w:val="Heading1"/>
      </w:pPr>
      <w:r>
        <w:t>2 Work sequence and responsibilities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63"/>
        <w:gridCol w:w="7603"/>
      </w:tblGrid>
      <w:tr>
        <w:trPr>
          <w:cantSplit/>
          <w:tblHeader/>
          <w:cantSplit/>
          <w:tblHeader/>
        </w:trPr>
        <w:tc>
          <w:tcPr>
            <w:tcW w:type="dxa" w:w="2563"/>
            <w:vAlign w:val="center"/>
            <w:shd w:fill="DCE6EE"/>
            <w:tcMar>
              <w:top w:w="85" w:type="dxa"/>
              <w:left w:w="85" w:type="dxa"/>
              <w:bottom w:w="85" w:type="dxa"/>
              <w:right w:w="85" w:type="dxa"/>
            </w:tcMar>
          </w:tcPr>
          <w:p>
            <w:pPr>
              <w:spacing w:after="40" w:before="40" w:line="245" w:lineRule="auto"/>
            </w:pPr>
            <w:r>
              <w:rPr>
                <w:rFonts w:ascii="Arial" w:hAnsi="Arial"/>
                <w:b/>
                <w:color w:val="000000"/>
                <w:sz w:val="19"/>
              </w:rPr>
              <w:t>Date in India</w:t>
            </w:r>
          </w:p>
        </w:tc>
        <w:tc>
          <w:tcPr>
            <w:tcW w:type="dxa" w:w="7603"/>
            <w:vAlign w:val="center"/>
            <w:shd w:fill="DCE6EE"/>
            <w:tcMar>
              <w:top w:w="85" w:type="dxa"/>
              <w:left w:w="85" w:type="dxa"/>
              <w:bottom w:w="85" w:type="dxa"/>
              <w:right w:w="85" w:type="dxa"/>
            </w:tcMar>
          </w:tcPr>
          <w:p>
            <w:pPr>
              <w:spacing w:after="40" w:before="40" w:line="245" w:lineRule="auto"/>
            </w:pPr>
            <w:r>
              <w:rPr>
                <w:rFonts w:ascii="Arial" w:hAnsi="Arial"/>
                <w:b/>
                <w:color w:val="000000"/>
                <w:sz w:val="19"/>
              </w:rPr>
              <w:t>Work and required exit evidence</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Tue 6 October</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Engineer confirms local-only backend, delivery guard and supported auth adapter. Test lead assigns people, opens the run log and freezes the role matrix. Founder starts sender, SMS and gateway account checks. Exit: reproducible local setup and named blockers.</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Wed 7 October</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Engineer and test lead run signup, login, recovery, workspace roles, invites and disposable account setup. Exit: handler/adapter and browser evidence; all access defects fixed or logged.</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Thu 8 October</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Run household, Saathi, business, PET, stakeholder, file and exact-number cases. Run races with two browser profiles. Exit: each required journey has evidence or a named blocker.</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Fri 9 October</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Run full checks, production build, regression, visual/language checks and failure tests. Complete provider tests only in a separately approved provider environment. Refresh the user guide and rehearse release/rollback. Exit: candidate SHA, defect report and provider gates.</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Sat 10 October</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Test lead reviews the final candidate. Founder records GO or NO GO for an explicit scope. Engineer follows protected PR and deployment checks, then runs the production smoke test. Failed gates mean hold the affected release; do not mark Saturday delivery complete.</w:t>
            </w:r>
          </w:p>
        </w:tc>
      </w:tr>
    </w:tbl>
    <w:p>
      <w:pPr>
        <w:spacing w:before="140"/>
      </w:pPr>
      <w:r>
        <w:t>These are target slots. Fixes can change the order. A missed gate stays open; calendar pressure does not lower the required result.</w:t>
      </w:r>
    </w:p>
    <w:p>
      <w:pPr>
        <w:pStyle w:val="ListBullet"/>
      </w:pPr>
      <w:r>
        <w:rPr>
          <w:b/>
        </w:rPr>
        <w:t>Founder:</w:t>
      </w:r>
      <w:r>
        <w:t xml:space="preserve"> own provider accounts, billing, DNS, business checks, approved business rules and the launch decision. Name the test team and control access to the credentials annex. Verify the actual payment-provider contract.</w:t>
      </w:r>
    </w:p>
    <w:p>
      <w:pPr>
        <w:pStyle w:val="ListBullet"/>
      </w:pPr>
      <w:r>
        <w:rPr>
          <w:b/>
        </w:rPr>
        <w:t>Engineer:</w:t>
      </w:r>
      <w:r>
        <w:t xml:space="preserve"> own local setup, implementation, automated tests, data manifests, defect fixes, secret handling, backend/frontend deployment and recovery.</w:t>
      </w:r>
    </w:p>
    <w:p>
      <w:pPr>
        <w:pStyle w:val="ListBullet"/>
      </w:pPr>
      <w:r>
        <w:rPr>
          <w:b/>
        </w:rPr>
        <w:t>Test lead:</w:t>
      </w:r>
      <w:r>
        <w:t xml:space="preserve"> own the case list, test assignments, independent retests, browser evidence, severity, daily status and final release recommendation.</w:t>
      </w:r>
    </w:p>
    <w:p>
      <w:pPr>
        <w:pStyle w:val="ListBullet"/>
      </w:pPr>
      <w:r>
        <w:rPr>
          <w:b/>
        </w:rPr>
        <w:t>Role testers:</w:t>
      </w:r>
      <w:r>
        <w:t xml:space="preserve"> use their assigned account in a separate browser profile. Record the actual result and evidence. Do not grant themselves permissions or change backend rows to make a flow pass.</w:t>
      </w:r>
    </w:p>
    <w:p>
      <w:pPr>
        <w:pStyle w:val="ListBullet"/>
      </w:pPr>
      <w:r>
        <w:rPr>
          <w:b/>
        </w:rPr>
        <w:t>Language reviewers:</w:t>
      </w:r>
      <w:r>
        <w:t xml:space="preserve"> inspect Kannada, Hindi, English and other launch languages. A machine translation check does not replace their review.</w:t>
      </w:r>
    </w:p>
    <w:p>
      <w:pPr>
        <w:pStyle w:val="Heading1"/>
      </w:pPr>
      <w:r>
        <w:t>3 Environments and safe test data</w:t>
      </w:r>
    </w:p>
    <w:p>
      <w:r>
        <w:rPr>
          <w:b/>
        </w:rPr>
        <w:t>L0 — local disconnected and unit tests.</w:t>
      </w:r>
      <w:r>
        <w:t xml:space="preserve"> Use empty configuration and isolated fixtures to test validation, loading and unavailable states. These tests do not prove authentication, persistence or external delivery.</w:t>
      </w:r>
    </w:p>
    <w:p>
      <w:r>
        <w:rPr>
          <w:b/>
        </w:rPr>
        <w:t>L1 — local connected acceptance.</w:t>
      </w:r>
      <w:r>
        <w:t xml:space="preserve"> Use a local frontend and the isolated local Convex process. Record exact origins, ports, candidate SHA and seed version. Use Better Auth's real HTTP handler and Convex adapter. Verify session reload, component persistence after restart and private file storage before the role run. Keep Resend, MSG91, gateway and other live provider keys absent. Inspect network requests and local delivery records to prove no SMS or email leaves the machine. No cloud development fallback is authorized for disposable auth tests. If local components fail, fix or record the blocker and bring the decision to the founder.</w:t>
      </w:r>
    </w:p>
    <w:p>
      <w:r>
        <w:rPr>
          <w:b/>
        </w:rPr>
        <w:t>P1 — provider sandbox.</w:t>
      </w:r>
      <w:r>
        <w:t xml:space="preserve"> This is a later, separate gate. Use provider sandbox accounts, controlled destinations and explicit authorization for external sends. Do not expose the local development challenge service through a public tunnel. A gateway may require a separately approved test deployment for public webhooks. Sandbox transactions do not prove live settlement or merchant approval.</w:t>
      </w:r>
    </w:p>
    <w:p>
      <w:r>
        <w:rPr>
          <w:b/>
        </w:rPr>
        <w:t>P2 — production smoke.</w:t>
      </w:r>
      <w:r>
        <w:t xml:space="preserve"> Use the final approved release and live configuration only after the release decision. No synthetic local identity, test sender, fixed challenge, seed function or dev flag may cross into production. Use controlled operator accounts and minimize side effects.</w:t>
      </w:r>
    </w:p>
    <w:p>
      <w:r>
        <w:t xml:space="preserve">Use reserved </w:t>
      </w:r>
      <w:r>
        <w:rPr>
          <w:rFonts w:ascii="Liberation Mono" w:hAnsi="Liberation Mono"/>
          <w:sz w:val="17"/>
        </w:rPr>
        <w:t>.test</w:t>
      </w:r>
      <w:r>
        <w:t xml:space="preserve"> email addresses for L1 and synthetic phone fixtures which cannot reach a real subscriber through the local delivery path. Use fabricated names, sites, material records and scrubbed documents. Never copy customer data. Do not use image GPS as a location source. Store exact grams and paise; keep test prices visibly labelled. Use a seed run ID and record aliases instead of live IDs.</w:t>
      </w:r>
    </w:p>
    <w:p>
      <w:r>
        <w:t>Create identities through supported auth flows. Create domain data through validated APIs or narrow local-only fixture functions. Prove that the seed refuses cloud targets, is repeatable without duplicates and removes only its own records. Test cleanup with a preserved unrelated local record.</w:t>
      </w:r>
    </w:p>
    <w:p>
      <w:r>
        <w:t>Generate a unique strong password for each email test account. Keep passwords and access procedures only in the restricted annex or password manager, outside Git and outside the shared guide. The annex records account alias, local origin, workspace, role, expected first screen, custodian and expiry/rotation date. Phone and TOTP rows describe the private access procedure. Do not print their codes, seeds or backup codes. Revoke test sessions and delete the local fixtures when the acceptance run ends.</w:t>
      </w:r>
    </w:p>
    <w:p>
      <w:pPr>
        <w:pStyle w:val="Heading1"/>
      </w:pPr>
      <w:r>
        <w:t>4 Account roster and permissions</w:t>
      </w:r>
    </w:p>
    <w:p>
      <w:r>
        <w:t>Each group below needs a distinct local journey. If its UI or server permission is missing, record BLOCKED. Do not substitute an administrator session.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63"/>
        <w:gridCol w:w="7603"/>
      </w:tblGrid>
      <w:tr>
        <w:trPr>
          <w:cantSplit/>
          <w:tblHeader/>
          <w:cantSplit/>
          <w:tblHeader/>
        </w:trPr>
        <w:tc>
          <w:tcPr>
            <w:tcW w:type="dxa" w:w="2563"/>
            <w:vAlign w:val="center"/>
            <w:shd w:fill="DCE6EE"/>
            <w:tcMar>
              <w:top w:w="85" w:type="dxa"/>
              <w:left w:w="85" w:type="dxa"/>
              <w:bottom w:w="85" w:type="dxa"/>
              <w:right w:w="85" w:type="dxa"/>
            </w:tcMar>
          </w:tcPr>
          <w:p>
            <w:pPr>
              <w:spacing w:after="40" w:before="40" w:line="245" w:lineRule="auto"/>
            </w:pPr>
            <w:r>
              <w:rPr>
                <w:rFonts w:ascii="Arial" w:hAnsi="Arial"/>
                <w:b/>
                <w:color w:val="000000"/>
                <w:sz w:val="19"/>
              </w:rPr>
              <w:t>Group</w:t>
            </w:r>
          </w:p>
        </w:tc>
        <w:tc>
          <w:tcPr>
            <w:tcW w:type="dxa" w:w="7603"/>
            <w:vAlign w:val="center"/>
            <w:shd w:fill="DCE6EE"/>
            <w:tcMar>
              <w:top w:w="85" w:type="dxa"/>
              <w:left w:w="85" w:type="dxa"/>
              <w:bottom w:w="85" w:type="dxa"/>
              <w:right w:w="85" w:type="dxa"/>
            </w:tcMar>
          </w:tcPr>
          <w:p>
            <w:pPr>
              <w:spacing w:after="40" w:before="40" w:line="245" w:lineRule="auto"/>
            </w:pPr>
            <w:r>
              <w:rPr>
                <w:rFonts w:ascii="Arial" w:hAnsi="Arial"/>
                <w:b/>
                <w:color w:val="000000"/>
                <w:sz w:val="19"/>
              </w:rPr>
              <w:t>Required journey</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Household member and household coordinator</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Signup, own booking and tracking, correction/cancellation rights, own receipt; coordinator access only where explicitly granted.</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Kabadiwala owner and invited staff</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Application, approval, pickup, weighing, direct household payment record, stock and permitted B2B offer.</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Saathi</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Account, permitted work list, assignment race, own completion and earnings record; no access to customer finance or unrelated jobs.</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Preprocessor</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Receive PET lots, inspect, sort/transform where supported, record loss and side streams, offer accepted material.</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Recycler</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Receive accepted material, quality check, supported output records, buyer/seller access and compliance evidence.</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Manufacturer</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Buy inputs and offer a non-hazardous recyclable byproduct to any currently approved buyer handling that material.</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Fibre, textile and garment manufacturers</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Separate subtype journeys; confirm actual screens and evidence fields. Do not invent missing transformations.</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Apartment community, office, hotel and resort</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Four distinct non-household generator journeys with site and material origin; no automatic trading approval.</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Apparel brand, packaging brand or PIBO</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Own authorized reports/evidence; verify whether a distinct business workflow exists before granting it.</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City official, CSR sponsor, lender, auditor and waste-picker union</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Five distinct observer journeys; approved account plus explicit purpose-limited data grant; no default private-data or trade access.</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Platform administrator</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Setup, required TOTP, application review and audited administrative operations; no implicit customer-workspace membership.</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Negative and multi-workspace fixtures</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Unapproved/suspended organization, wrong-material buyer, outside user, revoked user and a person in two organizations.</w:t>
            </w:r>
          </w:p>
        </w:tc>
      </w:tr>
    </w:tbl>
    <w:p>
      <w:pPr>
        <w:spacing w:before="140"/>
      </w:pPr>
      <w:r>
        <w:t>For each organization/workspace group, exercise owner, admin, member and viewer with the same records. Where a role is not applicable, state why in the signed permission matrix; the role name alone is not permission. The engineer and test lead must record, per capability, ALLOW or DENY for invite, revoke, role change, price read, price edit, inventory write, trade approval, quality write, report read, export and private-file read. Founder resolves any unapproved row before that workflow is enabled.</w:t>
      </w:r>
    </w:p>
    <w:p>
      <w:r>
        <w:t>The acceptance baseline is least privilege: only an owner or explicitly permitted admin manages invitations; members act only within assigned duties; viewers cannot write; observers receive only their explicit data grant. Reject cross-organization reads and writes for every role, including role-management requests. Test removal/demotion of the last owner against the approved rule.</w:t>
      </w:r>
    </w:p>
    <w:p>
      <w:pPr>
        <w:pStyle w:val="Heading1"/>
      </w:pPr>
      <w:r>
        <w:t>5 Authentication and workspace cases</w:t>
      </w:r>
    </w:p>
    <w:p>
      <w:r>
        <w:t>Record L1 browser evidence and automated handler/adapter evidence separately. For each case, include reload or a fresh request to prove server behavior.</w:t>
      </w:r>
    </w:p>
    <w:p>
      <w:pPr>
        <w:pStyle w:val="ListBullet"/>
      </w:pPr>
      <w:r>
        <w:rPr>
          <w:b/>
        </w:rPr>
        <w:t>AUTH-01:</w:t>
      </w:r>
      <w:r>
        <w:t xml:space="preserve"> Sign up by email/password. Before verification, attempt private access and expect denial. Use the local-only verification message, verify, log in, reload and confirm the correct account. Sign out and confirm private reads and browser Back cannot recover a live session.</w:t>
      </w:r>
    </w:p>
    <w:p>
      <w:pPr>
        <w:pStyle w:val="ListBullet"/>
      </w:pPr>
      <w:r>
        <w:rPr>
          <w:b/>
        </w:rPr>
        <w:t>AUTH-02:</w:t>
      </w:r>
      <w:r>
        <w:t xml:space="preserve"> Repeat with phone OTP. Reject malformed, wrong, expired and used codes. Test resend delay and server rate limits across two browser profiles. Provider failure must not create a session or trigger an automatic send loop.</w:t>
      </w:r>
    </w:p>
    <w:p>
      <w:pPr>
        <w:pStyle w:val="ListBullet"/>
      </w:pPr>
      <w:r>
        <w:rPr>
          <w:b/>
        </w:rPr>
        <w:t>AUTH-03:</w:t>
      </w:r>
      <w:r>
        <w:t xml:space="preserve"> Try duplicate email, duplicate phone, wrong password, unknown email and normalization variants. Prevent account enumeration and silent account merging. Linking email and phone requires proof of both identifiers.</w:t>
      </w:r>
    </w:p>
    <w:p>
      <w:pPr>
        <w:pStyle w:val="ListBullet"/>
      </w:pPr>
      <w:r>
        <w:rPr>
          <w:b/>
        </w:rPr>
        <w:t>AUTH-04:</w:t>
      </w:r>
      <w:r>
        <w:t xml:space="preserve"> Request email password reset, use a valid local link, then repeat it and use an expired/tampered link. Only the valid one-use link works. Confirm the new password and the documented session revocation policy. A phone-only account must not gain a password through an unverified reset path.</w:t>
      </w:r>
    </w:p>
    <w:p>
      <w:pPr>
        <w:pStyle w:val="ListBullet"/>
      </w:pPr>
      <w:r>
        <w:rPr>
          <w:b/>
        </w:rPr>
        <w:t>AUTH-05:</w:t>
      </w:r>
      <w:r>
        <w:t xml:space="preserve"> Enable optional user TOTP; test valid, invalid and expired code, one-use recovery code, removal and sign-in with a remembered/stale tab. No session becomes usable before all required factors pass.</w:t>
      </w:r>
    </w:p>
    <w:p>
      <w:pPr>
        <w:pStyle w:val="ListBullet"/>
      </w:pPr>
      <w:r>
        <w:rPr>
          <w:b/>
        </w:rPr>
        <w:t>AUTH-06:</w:t>
      </w:r>
      <w:r>
        <w:t xml:space="preserve"> Set up the configured platform admin with the private setup token. Require password plus TOTP. Reject another email, repeated setup and ordinary-user recovery attempts on the admin. Admin reset preserves required TOTP. Remove the setup token after setup; keep all secrets out of captures.</w:t>
      </w:r>
    </w:p>
    <w:p>
      <w:pPr>
        <w:pStyle w:val="ListBullet"/>
      </w:pPr>
      <w:r>
        <w:rPr>
          <w:b/>
        </w:rPr>
        <w:t>AUTH-07:</w:t>
      </w:r>
      <w:r>
        <w:t xml:space="preserve"> Force sign-out failure and retry. Confirm active account state is honest. Revoke push/device bindings before sign-out completes. Late provider or session responses cannot restore the old account or its subscriptions.</w:t>
      </w:r>
    </w:p>
    <w:p>
      <w:pPr>
        <w:pStyle w:val="ListBullet"/>
      </w:pPr>
      <w:r>
        <w:rPr>
          <w:b/>
        </w:rPr>
        <w:t>AUTH-08:</w:t>
      </w:r>
      <w:r>
        <w:t xml:space="preserve"> Try the local verification mechanism with a production origin, cloud target, browser-only switch and missing server guard. All must fail. Inspect console, logs and responses for leaked passwords, tokens or codes.</w:t>
      </w:r>
    </w:p>
    <w:p>
      <w:pPr>
        <w:pStyle w:val="ListBullet"/>
      </w:pPr>
      <w:r>
        <w:rPr>
          <w:b/>
        </w:rPr>
        <w:t>TEAM-01:</w:t>
      </w:r>
      <w:r>
        <w:t xml:space="preserve"> Owner invites a new verified email for each permitted role. The recipient sees the organization and role before accepting. Verify exactly one membership, correct first screen and an audit event.</w:t>
      </w:r>
    </w:p>
    <w:p>
      <w:pPr>
        <w:pStyle w:val="ListBullet"/>
      </w:pPr>
      <w:r>
        <w:rPr>
          <w:b/>
        </w:rPr>
        <w:t>TEAM-02:</w:t>
      </w:r>
      <w:r>
        <w:t xml:space="preserve"> Invite an existing user and a phone-only user. The phone-only user must verify the invited email first; typed email alone grants nothing. A different verified email cannot accept. Check safe return URLs.</w:t>
      </w:r>
    </w:p>
    <w:p>
      <w:pPr>
        <w:pStyle w:val="ListBullet"/>
      </w:pPr>
      <w:r>
        <w:rPr>
          <w:b/>
        </w:rPr>
        <w:t>TEAM-03:</w:t>
      </w:r>
      <w:r>
        <w:t xml:space="preserve"> Expire, revoke and reuse invites. Reject each invalid attempt; two tabs accepting the same invite must produce one grant. Repeated send and acceptance failures must not create duplicate memberships or audit grants.</w:t>
      </w:r>
    </w:p>
    <w:p>
      <w:pPr>
        <w:pStyle w:val="ListBullet"/>
      </w:pPr>
      <w:r>
        <w:rPr>
          <w:b/>
        </w:rPr>
        <w:t>TEAM-04:</w:t>
      </w:r>
      <w:r>
        <w:t xml:space="preserve"> Switch between two workspaces. Confirm current permissions and data every time. Changing a URL, record ID or request payload cannot escape the chosen organization. Test reads, writes, exports and private files.</w:t>
      </w:r>
    </w:p>
    <w:p>
      <w:pPr>
        <w:pStyle w:val="ListBullet"/>
      </w:pPr>
      <w:r>
        <w:rPr>
          <w:b/>
        </w:rPr>
        <w:t>TEAM-05:</w:t>
      </w:r>
      <w:r>
        <w:t xml:space="preserve"> Revoke/demote a member while their second browser has a screen open. The next server operation and live subscription must reflect current access. Concurrent role updates cannot restore a removed role from stale data.</w:t>
      </w:r>
    </w:p>
    <w:p>
      <w:pPr>
        <w:pStyle w:val="ListBullet"/>
      </w:pPr>
      <w:r>
        <w:rPr>
          <w:b/>
        </w:rPr>
        <w:t>TEAM-06:</w:t>
      </w:r>
      <w:r>
        <w:t xml:space="preserve"> Repeat each role's allowed and denied actions from section 4. Test last-owner protection, unauthorized invites and self-promotion. Confirm every grant, revoke and role change has actor, time and target in the audit.</w:t>
      </w:r>
    </w:p>
    <w:p>
      <w:pPr>
        <w:pStyle w:val="Heading1"/>
      </w:pPr>
      <w:r>
        <w:t>6 Household and work cases</w:t>
      </w:r>
    </w:p>
    <w:p>
      <w:pPr>
        <w:pStyle w:val="ListBullet"/>
      </w:pPr>
      <w:r>
        <w:rPr>
          <w:b/>
        </w:rPr>
        <w:t>REC-01:</w:t>
      </w:r>
      <w:r>
        <w:t xml:space="preserve"> Household creates a pickup through manual material entry, with browser location allowed and denied. Retain an editable address. A photo is optional; neither AI nor photo metadata may invent confirmed location/mass.</w:t>
      </w:r>
    </w:p>
    <w:p>
      <w:pPr>
        <w:pStyle w:val="ListBullet"/>
      </w:pPr>
      <w:r>
        <w:rPr>
          <w:b/>
        </w:rPr>
        <w:t>REC-02:</w:t>
      </w:r>
      <w:r>
        <w:t xml:space="preserve"> Verify phone/email as required, quote, booking, tracking, cancellation and duplicate submission. Decline or time out the first shop offer, then confirm the documented next assignment. Reload after each state.</w:t>
      </w:r>
    </w:p>
    <w:p>
      <w:pPr>
        <w:pStyle w:val="ListBullet"/>
      </w:pPr>
      <w:r>
        <w:rPr>
          <w:b/>
        </w:rPr>
        <w:t>REC-03:</w:t>
      </w:r>
      <w:r>
        <w:t xml:space="preserve"> Kabadiwala records actual material and weight, shows the receipt to the household, and records direct cash/UPI payment. Confirm stock, points and audit entries occur once. Luma must not report a gateway transfer.</w:t>
      </w:r>
    </w:p>
    <w:p>
      <w:pPr>
        <w:pStyle w:val="ListBullet"/>
      </w:pPr>
      <w:r>
        <w:rPr>
          <w:b/>
        </w:rPr>
        <w:t>REC-04:</w:t>
      </w:r>
      <w:r>
        <w:t xml:space="preserve"> Test 1 g, 1,001 g, fractional locale entry, zero, negative, NaN, unsafe integer and an unsafe product. For 1,001 g at 12,300 paise/kg, the accepted rounding contract must give 12,312 paise. Confirm shared exact-money helper behavior; reject unsafe totals before mutation. Display locale digits.</w:t>
      </w:r>
    </w:p>
    <w:p>
      <w:pPr>
        <w:pStyle w:val="ListBullet"/>
      </w:pPr>
      <w:r>
        <w:rPr>
          <w:b/>
        </w:rPr>
        <w:t>REC-05:</w:t>
      </w:r>
      <w:r>
        <w:t xml:space="preserve"> Wrong household, wrong shop and revoked staff try tracking edits, receipt changes and file reads. Designed public tracking reveals only its allowed view and never grants cancellation or private-record rights.</w:t>
      </w:r>
    </w:p>
    <w:p>
      <w:pPr>
        <w:pStyle w:val="ListBullet"/>
      </w:pPr>
      <w:r>
        <w:rPr>
          <w:b/>
        </w:rPr>
        <w:t>REC-06:</w:t>
      </w:r>
      <w:r>
        <w:t xml:space="preserve"> Repeat after network loss immediately before/after save. Read the committed result before retry. No double receipt, stock, points or payment record. Retain the user's draft after a confirmed failed save.</w:t>
      </w:r>
    </w:p>
    <w:p>
      <w:pPr>
        <w:pStyle w:val="ListBullet"/>
      </w:pPr>
      <w:r>
        <w:rPr>
          <w:b/>
        </w:rPr>
        <w:t>WORK-01:</w:t>
      </w:r>
      <w:r>
        <w:t xml:space="preserve"> Saathi browses permitted jobs, takes one, completes their own eligible job and views earned amounts. Reject future/other-user completion. Two workers competing for one job must produce one assignee; repeat completion changes nothing. Do not imply that an earnings record paid the worker.</w:t>
      </w:r>
    </w:p>
    <w:p>
      <w:pPr>
        <w:pStyle w:val="Heading1"/>
      </w:pPr>
      <w:r>
        <w:t>7 Business material and PET cases</w:t>
      </w:r>
    </w:p>
    <w:p>
      <w:r>
        <w:t>Use one labelled PET chain with measured input, output, loss and separate side streams. Record evidence per handoff. Run each supported screen with its proper buyer/seller account. Mark a missing transformation or integration BLOCKED.</w:t>
      </w:r>
    </w:p>
    <w:p>
      <w:pPr>
        <w:pStyle w:val="ListBullet"/>
      </w:pPr>
      <w:r>
        <w:rPr>
          <w:b/>
        </w:rPr>
        <w:t>PET-01:</w:t>
      </w:r>
      <w:r>
        <w:t xml:space="preserve"> Record source and origin for household, generator site and manufacturer byproduct. Preserve site, actor, material, time and lot link. Declared origin and photo evidence do not prove regulatory clearance.</w:t>
      </w:r>
    </w:p>
    <w:p>
      <w:pPr>
        <w:pStyle w:val="ListBullet"/>
      </w:pPr>
      <w:r>
        <w:rPr>
          <w:b/>
        </w:rPr>
        <w:t>PET-02:</w:t>
      </w:r>
      <w:r>
        <w:t xml:space="preserve"> Household to kabadiwala, kabadiwala to preprocessor, preprocessor to recycler, and recycler to manufacturer each need dispatch/receipt actors, measured grams, custody events, supporting files and a discrepancy path. No handoff can silently edit its predecessor's measurement.</w:t>
      </w:r>
    </w:p>
    <w:p>
      <w:pPr>
        <w:pStyle w:val="ListBullet"/>
      </w:pPr>
      <w:r>
        <w:rPr>
          <w:b/>
        </w:rPr>
        <w:t>PET-03:</w:t>
      </w:r>
      <w:r>
        <w:t xml:space="preserve"> Test received bottles/bales, PET flakes and supported output forms. Separate caps/rings, labels, contamination and rejects. Check input equals accepted output plus recorded loss/side streams, with the approved tolerance. The workbook's illustrative yield is not an accepted rule.</w:t>
      </w:r>
    </w:p>
    <w:p>
      <w:pPr>
        <w:pStyle w:val="ListBullet"/>
      </w:pPr>
      <w:r>
        <w:rPr>
          <w:b/>
        </w:rPr>
        <w:t>PET-04:</w:t>
      </w:r>
      <w:r>
        <w:t xml:space="preserve"> Record sample/inspection method, quality grade, accept/reject, correction reason, actor and date. An amended result retains its history. Require authorized reviewer actions; do not overwrite evidence or auto-accept a lot from a seller claim. Undefined quality limits block that quality gate.</w:t>
      </w:r>
    </w:p>
    <w:p>
      <w:pPr>
        <w:pStyle w:val="ListBullet"/>
      </w:pPr>
      <w:r>
        <w:rPr>
          <w:b/>
        </w:rPr>
        <w:t>PET-05:</w:t>
      </w:r>
      <w:r>
        <w:t xml:space="preserve"> Manufacturer lists a non-hazardous byproduct. Allow an approved buyer handling that material regardless of the old next-role restriction. Deny unapproved, suspended, wrong-material and self-purchase attempts. Hold hazardous/uncertain materials for the separate approved eligibility process.</w:t>
      </w:r>
    </w:p>
    <w:p>
      <w:pPr>
        <w:pStyle w:val="ListBullet"/>
      </w:pPr>
      <w:r>
        <w:rPr>
          <w:b/>
        </w:rPr>
        <w:t>PET-06:</w:t>
      </w:r>
      <w:r>
        <w:t xml:space="preserve"> Two buyers request more than available grams. Accept and retry concurrently; free/reserved stock stays consistent and non-negative. Decline, cancel, withdraw and failed dispatch follow their exact release rules.</w:t>
      </w:r>
    </w:p>
    <w:p>
      <w:pPr>
        <w:pStyle w:val="ListBullet"/>
      </w:pPr>
      <w:r>
        <w:rPr>
          <w:b/>
        </w:rPr>
        <w:t>PET-07:</w:t>
      </w:r>
      <w:r>
        <w:t xml:space="preserve"> Attach quote, order, invoice, transport and official certificate references. Access is scoped; a reference cannot mint a certificate, create stock, prove payment or grant regulatory approval. Test duplicates and changes.</w:t>
      </w:r>
    </w:p>
    <w:p>
      <w:pPr>
        <w:pStyle w:val="ListBullet"/>
      </w:pPr>
      <w:r>
        <w:rPr>
          <w:b/>
        </w:rPr>
        <w:t>PET-08:</w:t>
      </w:r>
      <w:r>
        <w:t xml:space="preserve"> Missing gateway blocks payment-dependent dispatch/settlement and completion. Calling old demo-pay actions, editing requests or uploading payment proof cannot mark B2B paid. Preserve an honest blocked message and no extra stock movement. This passes the safety boundary, not a completed B2B trade.</w:t>
      </w:r>
    </w:p>
    <w:p>
      <w:pPr>
        <w:pStyle w:val="ListBullet"/>
      </w:pPr>
      <w:r>
        <w:rPr>
          <w:b/>
        </w:rPr>
        <w:t>PET-09:</w:t>
      </w:r>
      <w:r>
        <w:t xml:space="preserve"> After provider setup, run sandbox checkout and signed-event reconciliation. Sandbox success must not unlock dispatch or change stock. Reject forged signatures, wrong financial identity, replay and duplicate or reversed events. Live collection, dispatch, receipt, refund and settlement need separate P2 acceptance under the approved policy. Both modes must preserve money and stock on timeout or retry; missing provider setup keeps P1 blocked.</w:t>
      </w:r>
    </w:p>
    <w:p>
      <w:pPr>
        <w:pStyle w:val="Heading2"/>
      </w:pPr>
      <w:r>
        <w:t>Additional current source checks</w:t>
      </w:r>
    </w:p>
    <w:p>
      <w:r>
        <w:t xml:space="preserve">The </w:t>
      </w:r>
      <w:hyperlink r:id="rId11">
        <w:r>
          <w:rPr>
            <w:u w:val="single"/>
          </w:rPr>
          <w:t>team test manual</w:t>
        </w:r>
      </w:hyperlink>
      <w:r>
        <w:t xml:space="preserve"> now contains dedicated </w:t>
      </w:r>
      <w:r>
        <w:rPr>
          <w:b/>
        </w:rPr>
        <w:t>INTAKE</w:t>
      </w:r>
      <w:r>
        <w:t xml:space="preserve">, </w:t>
      </w:r>
      <w:r>
        <w:rPr>
          <w:b/>
        </w:rPr>
        <w:t>CLASSIFY</w:t>
      </w:r>
      <w:r>
        <w:t xml:space="preserve"> and </w:t>
      </w:r>
      <w:r>
        <w:rPr>
          <w:b/>
        </w:rPr>
        <w:t>MULTI</w:t>
      </w:r>
      <w:r>
        <w:t xml:space="preserve"> cases. Run these against the candidate alongside the PET cases above:</w:t>
      </w:r>
    </w:p>
    <w:p>
      <w:pPr>
        <w:pStyle w:val="ListBullet"/>
      </w:pPr>
      <w:r>
        <w:t>Manufacturer own-production intake adds exact weighed grams to inventory only after an approved material, production date, batch/weighing references and non-duplication confirmation. Check an identical retry, conflicting reference, invalid/future date and denied role/material without duplicate or partial stock changes.</w:t>
      </w:r>
    </w:p>
    <w:p>
      <w:pPr>
        <w:pStyle w:val="ListBullet"/>
      </w:pPr>
      <w:r>
        <w:t>Admin material classification records an explicit hazardous/non-hazardous decision and rationale/evidence reference, with required admin authentication and audit. Sector colours and facility capabilities cannot approve it. A hazardous decision blocks ordinary byproduct offers.</w:t>
      </w:r>
    </w:p>
    <w:p>
      <w:pPr>
        <w:pStyle w:val="ListBullet"/>
      </w:pPr>
      <w:r>
        <w:t>Multi-input transformation consumes per-lot whole grams from up to 20 distinct held ordinary-route lots. Check 800 g plus 200 g into four 250 g outputs, source histories, own output genealogy, overdraw/duplicate/cross-workspace denial, and private process history after a hand-off. This evidence does not add inventory.</w:t>
      </w:r>
    </w:p>
    <w:p>
      <w:r>
        <w:t>The multi-input slice has 32 focused passing tests and one local connected industry journey. These are bounded source checks. Keep final combined regression, provider execution and production smoke results separate in section 13; do not infer a pass for every case from them.</w:t>
      </w:r>
    </w:p>
    <w:p>
      <w:pPr>
        <w:pStyle w:val="Heading1"/>
      </w:pPr>
      <w:r>
        <w:t>8 Observers files reports and failure cases</w:t>
      </w:r>
    </w:p>
    <w:p>
      <w:pPr>
        <w:pStyle w:val="ListBullet"/>
      </w:pPr>
      <w:r>
        <w:rPr>
          <w:b/>
        </w:rPr>
        <w:t>OBS-01:</w:t>
      </w:r>
      <w:r>
        <w:t xml:space="preserve"> For city, CSR, lender, auditor, union and brand accounts, approve account access, then test before/after a specific data grant. Approval alone must expose no private prices, stock, identities or certificates. Revoke the grant while the report is open and recheck server read/export denial.</w:t>
      </w:r>
    </w:p>
    <w:p>
      <w:pPr>
        <w:pStyle w:val="ListBullet"/>
      </w:pPr>
      <w:r>
        <w:rPr>
          <w:b/>
        </w:rPr>
        <w:t>OBS-02:</w:t>
      </w:r>
      <w:r>
        <w:t xml:space="preserve"> Compare reports with the permitted source records and period. Show zero, partial and unavailable states honestly. No synthetic live prices, impact statistics, issued credits or undisclosed cross-organization totals. Keep recorded evidence separate from verified external outcomes.</w:t>
      </w:r>
    </w:p>
    <w:p>
      <w:pPr>
        <w:pStyle w:val="ListBullet"/>
      </w:pPr>
      <w:r>
        <w:rPr>
          <w:b/>
        </w:rPr>
        <w:t>FILE-01:</w:t>
      </w:r>
      <w:r>
        <w:t xml:space="preserve"> Upload a valid image/PDF and invalid type, oversized, zero-byte and corrupt file. Interrupt upload and retry. Confirm size/type validation, clear errors, no unintended duplicate link and scoped orphan cleanup.</w:t>
      </w:r>
    </w:p>
    <w:p>
      <w:pPr>
        <w:pStyle w:val="ListBullet"/>
      </w:pPr>
      <w:r>
        <w:rPr>
          <w:b/>
        </w:rPr>
        <w:t>FILE-02:</w:t>
      </w:r>
      <w:r>
        <w:t xml:space="preserve"> Read/download as owner, permitted teammate, viewer, outsider, revoked member and signed-out person. Check non-cacheable private responses; copied storage URLs must not bypass access. Inspect metadata/privacy treatment for supported image formats. Never use embedded GPS to assign a location.</w:t>
      </w:r>
    </w:p>
    <w:p>
      <w:pPr>
        <w:pStyle w:val="ListBullet"/>
      </w:pPr>
      <w:r>
        <w:rPr>
          <w:b/>
        </w:rPr>
        <w:t>FAIL-01:</w:t>
      </w:r>
      <w:r>
        <w:t xml:space="preserve"> Test slow/offline network, server failure, 401/403, 429 and provider timeout. Loading must not show false zero/success. Keep recoverable drafts, prevent duplicate clicks, bound retries and recheck state after reconnection.</w:t>
      </w:r>
    </w:p>
    <w:p>
      <w:pPr>
        <w:pStyle w:val="ListBullet"/>
      </w:pPr>
      <w:r>
        <w:rPr>
          <w:b/>
        </w:rPr>
        <w:t>FAIL-02:</w:t>
      </w:r>
      <w:r>
        <w:t xml:space="preserve"> Rapidly switch accounts/workspaces while requests/uploads run. Old responses cannot appear in the new account or write to the wrong org. Refresh mid-flow and open two tabs to expose stale status and session races.</w:t>
      </w:r>
    </w:p>
    <w:p>
      <w:pPr>
        <w:pStyle w:val="ListBullet"/>
      </w:pPr>
      <w:r>
        <w:rPr>
          <w:b/>
        </w:rPr>
        <w:t>API-01:</w:t>
      </w:r>
      <w:r>
        <w:t xml:space="preserve"> Where industry API access is enabled, test scoped key creation, expiry, revocation, quota and cross-org denial. Return exact grams/paise and current membership. Do not expose keys in screenshots or shared logs.</w:t>
      </w:r>
    </w:p>
    <w:p>
      <w:pPr>
        <w:pStyle w:val="ListBullet"/>
      </w:pPr>
      <w:r>
        <w:rPr>
          <w:b/>
        </w:rPr>
        <w:t>AUDIT-01:</w:t>
      </w:r>
      <w:r>
        <w:t xml:space="preserve"> Match each domain state change to its audit event, actor, target and reason where required. Replays do not duplicate commercial effects. Changing an emission factor must not restate an already-issued credit.</w:t>
      </w:r>
    </w:p>
    <w:p>
      <w:pPr>
        <w:pStyle w:val="Heading1"/>
      </w:pPr>
      <w:r>
        <w:t>9 Browser language and accessibility checks</w:t>
      </w:r>
    </w:p>
    <w:p>
      <w:r>
        <w:t xml:space="preserve">Inspect the actual loaded browser screen in light and dark mode at phone, tablet and desktop sizes. For shared headers/controls, run every locale from </w:t>
      </w:r>
      <w:r>
        <w:rPr>
          <w:rFonts w:ascii="Liberation Mono" w:hAnsi="Liberation Mono"/>
          <w:sz w:val="17"/>
        </w:rPr>
        <w:t>src/i18n/locales.ts</w:t>
      </w:r>
      <w:r>
        <w:t xml:space="preserve"> at 320, 390, 640, 768, 1024, 1280 and 1440 px, including a short-height menu. Use the current UI contract as the required matrix.</w:t>
      </w:r>
    </w:p>
    <w:p>
      <w:pPr>
        <w:pStyle w:val="ListBullet"/>
      </w:pPr>
      <w:r>
        <w:t>Check English, Kannada, Hindi, long Tamil/Malayalam labels and Arabic/Urdu RTL on affected flows; check all changed scripts. Verify actual Geist/Noto font loading, locale number input, amounts, dates, action fit and control overlap.</w:t>
      </w:r>
    </w:p>
    <w:p>
      <w:pPr>
        <w:pStyle w:val="ListBullet"/>
      </w:pPr>
      <w:r>
        <w:t>Use keyboard only for signup, invites, dialogs, uploads and sign-out. Check visible focus, focus return, accessible names, error announcements, browser zoom, reduced motion and no keyboard trap.</w:t>
      </w:r>
    </w:p>
    <w:p>
      <w:pPr>
        <w:pStyle w:val="ListBullet"/>
      </w:pPr>
      <w:r>
        <w:t>Inspect loaded, empty, loading and failure states. Check top/content/bottom and sticky controls; confirm labels remain usable on a small phone.</w:t>
      </w:r>
    </w:p>
    <w:p>
      <w:pPr>
        <w:pStyle w:val="ListBullet"/>
      </w:pPr>
      <w:r>
        <w:t>Inspect browser console and failed network requests on every main journey. Save relevant redacted errors and traces. Fail the case for a required request failure, hydration error, missing translation, wrong-origin request or leaked secret; explain intentionally blocked optional requests in the log.</w:t>
      </w:r>
    </w:p>
    <w:p>
      <w:pPr>
        <w:pStyle w:val="ListBullet"/>
      </w:pPr>
      <w:r>
        <w:t>Native web shells require their own physical-device, sign-in, update, push, OS permission and signing checks. A responsive browser result or unsigned package does not pass native release. Keep those gates listed as blocked until the relevant accounts and device evidence exist.</w:t>
      </w:r>
    </w:p>
    <w:p>
      <w:pPr>
        <w:pStyle w:val="Heading1"/>
      </w:pPr>
      <w:r>
        <w:t>10 Provider setup and evidence</w:t>
      </w:r>
    </w:p>
    <w:p>
      <w:r>
        <w:t xml:space="preserve">The founder starts these checks now. An existing account is not proof of sender approval, delivery, merchant onboarding or live execution. The exact setup list is in </w:t>
      </w:r>
      <w:hyperlink r:id="rId12">
        <w:r>
          <w:rPr>
            <w:u w:val="single"/>
          </w:rPr>
          <w:t>Account and deployment checklist</w:t>
        </w:r>
      </w:hyperlink>
      <w:r>
        <w: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63"/>
        <w:gridCol w:w="7603"/>
      </w:tblGrid>
      <w:tr>
        <w:trPr>
          <w:cantSplit/>
          <w:tblHeader/>
          <w:cantSplit/>
          <w:tblHeader/>
        </w:trPr>
        <w:tc>
          <w:tcPr>
            <w:tcW w:type="dxa" w:w="2563"/>
            <w:vAlign w:val="center"/>
            <w:shd w:fill="DCE6EE"/>
            <w:tcMar>
              <w:top w:w="85" w:type="dxa"/>
              <w:left w:w="85" w:type="dxa"/>
              <w:bottom w:w="85" w:type="dxa"/>
              <w:right w:w="85" w:type="dxa"/>
            </w:tcMar>
          </w:tcPr>
          <w:p>
            <w:pPr>
              <w:spacing w:after="40" w:before="40" w:line="245" w:lineRule="auto"/>
            </w:pPr>
            <w:r>
              <w:rPr>
                <w:rFonts w:ascii="Arial" w:hAnsi="Arial"/>
                <w:b/>
                <w:color w:val="000000"/>
                <w:sz w:val="19"/>
              </w:rPr>
              <w:t>Service or account</w:t>
            </w:r>
          </w:p>
        </w:tc>
        <w:tc>
          <w:tcPr>
            <w:tcW w:type="dxa" w:w="7603"/>
            <w:vAlign w:val="center"/>
            <w:shd w:fill="DCE6EE"/>
            <w:tcMar>
              <w:top w:w="85" w:type="dxa"/>
              <w:left w:w="85" w:type="dxa"/>
              <w:bottom w:w="85" w:type="dxa"/>
              <w:right w:w="85" w:type="dxa"/>
            </w:tcMar>
          </w:tcPr>
          <w:p>
            <w:pPr>
              <w:spacing w:after="40" w:before="40" w:line="245" w:lineRule="auto"/>
            </w:pPr>
            <w:r>
              <w:rPr>
                <w:rFonts w:ascii="Arial" w:hAnsi="Arial"/>
                <w:b/>
                <w:color w:val="000000"/>
                <w:sz w:val="19"/>
              </w:rPr>
              <w:t>Setup and acceptance gate</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GitHub, Convex and Vercel</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Reuse known projects. Verify owner access, deploy keys, per-environment origin and backend, checked commit, domain/DNS and backend-before-frontend release. Paused cloud deployments need an explicit release action.</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Better Auth</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Self-hosted library; no separate account required. Use a unique backend auth secret. Local verification guards must fail closed outside L1.</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Resend</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Create or verify owner account, owned sender domain, DNS verification, restricted API key and sender. The verification/reset/invitation delivery code is implemented; configured sender acceptance, delivered-mail proof and usable production links remain gates.</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MSG91</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Create or verify account, India DLT entity/header/content templates, OTP configuration, Flow mappings, balance and limits. Verify provider response and the controlled handset separately.</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B2B gateway</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Cashfree Payment Gateway + Easy Split selected. Checkout, signed-webhook reconciliation, trade/stock integration, refund and settlement controls are implemented. Founder must obtain use-case approval and activation. Actual sandbox and live collection/refund/settlement acceptance remain separate gates. No manual paid substitute.</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Optional features</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Analytics, errors, search, AI, public data, news, push and native stores need setup only when that feature is enabled. Do not let them silently become onboarding requirements.</w:t>
            </w:r>
          </w:p>
        </w:tc>
      </w:tr>
    </w:tbl>
    <w:p>
      <w:pPr>
        <w:spacing w:before="140"/>
      </w:pPr>
      <w:r>
        <w:t>Do not schedule provider approval as a guaranteed one-day task. MSG91 reports that content template approval can take 2–4 business days; this is guidance, not a service guarantee. Marketplace payment products can need provider review. A standard payment account does not establish that Luma may collect and settle funds for other sellers.</w:t>
      </w:r>
    </w:p>
    <w:p>
      <w:pPr>
        <w:pStyle w:val="Heading1"/>
      </w:pPr>
      <w:r>
        <w:t>11 Result log and release rules</w:t>
      </w:r>
    </w:p>
    <w:p>
      <w:r>
        <w:t>Use one result per case, role and evidence level. Allowed states: NOT RUN, PASS, FAIL, BLOCKED and NOT APPLICABLE with a signed reason. A blocked required case has the same release effect as a failed required case. Retain failures and retest links; do not replace the first result with a green screenshot.</w:t>
      </w:r>
    </w:p>
    <w:p>
      <w:r>
        <w:t>Copy this record for each run: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63"/>
        <w:gridCol w:w="7603"/>
      </w:tblGrid>
      <w:tr>
        <w:trPr>
          <w:cantSplit/>
          <w:tblHeader/>
          <w:cantSplit/>
          <w:tblHeader/>
        </w:trPr>
        <w:tc>
          <w:tcPr>
            <w:tcW w:type="dxa" w:w="2563"/>
            <w:vAlign w:val="center"/>
            <w:shd w:fill="DCE6EE"/>
            <w:tcMar>
              <w:top w:w="85" w:type="dxa"/>
              <w:left w:w="85" w:type="dxa"/>
              <w:bottom w:w="85" w:type="dxa"/>
              <w:right w:w="85" w:type="dxa"/>
            </w:tcMar>
          </w:tcPr>
          <w:p>
            <w:pPr>
              <w:spacing w:after="40" w:before="40" w:line="245" w:lineRule="auto"/>
            </w:pPr>
            <w:r>
              <w:rPr>
                <w:rFonts w:ascii="Arial" w:hAnsi="Arial"/>
                <w:b/>
                <w:color w:val="000000"/>
                <w:sz w:val="19"/>
              </w:rPr>
              <w:t>Field</w:t>
            </w:r>
          </w:p>
        </w:tc>
        <w:tc>
          <w:tcPr>
            <w:tcW w:type="dxa" w:w="7603"/>
            <w:vAlign w:val="center"/>
            <w:shd w:fill="DCE6EE"/>
            <w:tcMar>
              <w:top w:w="85" w:type="dxa"/>
              <w:left w:w="85" w:type="dxa"/>
              <w:bottom w:w="85" w:type="dxa"/>
              <w:right w:w="85" w:type="dxa"/>
            </w:tcMar>
          </w:tcPr>
          <w:p>
            <w:pPr>
              <w:spacing w:after="40" w:before="40" w:line="245" w:lineRule="auto"/>
            </w:pPr>
            <w:r>
              <w:rPr>
                <w:rFonts w:ascii="Arial" w:hAnsi="Arial"/>
                <w:b/>
                <w:color w:val="000000"/>
                <w:sz w:val="19"/>
              </w:rPr>
              <w:t>Record</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Run and case</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Run ID; case ID; date/time in Asia/Kolkata; tester name.</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Build and environment</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Commit SHA; L0/L1/P1/P2; app/backend origin; schema and seed version.</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Identity and permission</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Synthetic account alias; org/workspace alias; role; approved capability row.</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Preconditions and steps</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Seed facts; exact input grams/paise; reproducible steps.</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Expected and actual</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Required behavior; observed behavior; resulting record/audit aliases.</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Result and evidence</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State; screenshot/trace/log path; command exit result; redacted provider event reference if applicable.</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Defect and retest</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Defect ID; P0/P1/P2/P3; owner; fix SHA; retest result; regression impact.</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Blocker</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Missing code, provider, permission decision or access; owner; next action; target date.</w:t>
            </w:r>
          </w:p>
        </w:tc>
      </w:tr>
    </w:tbl>
    <w:p>
      <w:pPr>
        <w:spacing w:before="140"/>
      </w:pPr>
      <w:r>
        <w:t xml:space="preserve">Severity rules: </w:t>
      </w:r>
      <w:r>
        <w:rPr>
          <w:b/>
        </w:rPr>
        <w:t>P0</w:t>
      </w:r>
      <w:r>
        <w:t xml:space="preserve"> includes account takeover, cross-organization disclosure, secret leak, incorrect money/stock or irreversible data loss. </w:t>
      </w:r>
      <w:r>
        <w:rPr>
          <w:b/>
        </w:rPr>
        <w:t>P1</w:t>
      </w:r>
      <w:r>
        <w:t xml:space="preserve"> includes a broken required signup, permission, invite, material or payment workflow. </w:t>
      </w:r>
      <w:r>
        <w:rPr>
          <w:b/>
        </w:rPr>
        <w:t>P2</w:t>
      </w:r>
      <w:r>
        <w:t xml:space="preserve"> is a limited defect with a safe documented workaround; </w:t>
      </w:r>
      <w:r>
        <w:rPr>
          <w:b/>
        </w:rPr>
        <w:t>P3</w:t>
      </w:r>
      <w:r>
        <w:t xml:space="preserve"> is cosmetic. P0 and P1 block release. A founder waiver cannot make a failed security or money check pass; hold or explicitly remove that capability from the proposed release and retest its disabled boundary. Record any accepted P2/P3 with owner and due date.</w:t>
      </w:r>
    </w:p>
    <w:p>
      <w:r>
        <w:t>Release requires all of the following:</w:t>
      </w:r>
    </w:p>
    <w:p>
      <w:pPr>
        <w:spacing w:after="40"/>
        <w:ind w:left="432" w:hanging="317"/>
      </w:pPr>
      <w:r>
        <w:t xml:space="preserve">1.  </w:t>
      </w:r>
      <w:r>
        <w:t>Named scope and role/permission matrix, with every required case passed at the required evidence level. No required NOT RUN or BLOCKED rows.</w:t>
      </w:r>
    </w:p>
    <w:p>
      <w:pPr>
        <w:spacing w:after="40"/>
        <w:ind w:left="432" w:hanging="317"/>
      </w:pPr>
      <w:r>
        <w:t xml:space="preserve">2.  </w:t>
      </w:r>
      <w:r>
        <w:t xml:space="preserve">Current </w:t>
      </w:r>
      <w:r>
        <w:rPr>
          <w:rFonts w:ascii="Liberation Mono" w:hAnsi="Liberation Mono"/>
          <w:sz w:val="17"/>
        </w:rPr>
        <w:t>pnpm check</w:t>
      </w:r>
      <w:r>
        <w:t xml:space="preserve">, formatting, </w:t>
      </w:r>
      <w:r>
        <w:rPr>
          <w:rFonts w:ascii="Liberation Mono" w:hAnsi="Liberation Mono"/>
          <w:sz w:val="17"/>
        </w:rPr>
        <w:t>pnpm build</w:t>
      </w:r>
      <w:r>
        <w:t xml:space="preserve">, affected e2e and complete required hosted checks passed on the exact candidate. Run </w:t>
      </w:r>
      <w:r>
        <w:rPr>
          <w:rFonts w:ascii="Liberation Mono" w:hAnsi="Liberation Mono"/>
          <w:sz w:val="17"/>
        </w:rPr>
        <w:t>pnpm apps:check</w:t>
      </w:r>
      <w:r>
        <w:t xml:space="preserve"> and native release gates for any native scope. Do not reuse old test totals.</w:t>
      </w:r>
    </w:p>
    <w:p>
      <w:pPr>
        <w:spacing w:after="40"/>
        <w:ind w:left="432" w:hanging="317"/>
      </w:pPr>
      <w:r>
        <w:t xml:space="preserve">3.  </w:t>
      </w:r>
      <w:r>
        <w:t>Zero open P0/P1 issues; engineer and test lead sign the defect report.</w:t>
      </w:r>
    </w:p>
    <w:p>
      <w:pPr>
        <w:spacing w:after="40"/>
        <w:ind w:left="432" w:hanging="317"/>
      </w:pPr>
      <w:r>
        <w:t xml:space="preserve">4.  </w:t>
      </w:r>
      <w:r>
        <w:t>Required Resend/MSG91 delivery and gateway gates passed for each advertised production capability. Sandbox evidence does not satisfy live verification. Missing gateway means the full B2B payment release is blocked and must remain visible in the launch decision.</w:t>
      </w:r>
    </w:p>
    <w:p>
      <w:pPr>
        <w:spacing w:after="40"/>
        <w:ind w:left="432" w:hanging="317"/>
      </w:pPr>
      <w:r>
        <w:t xml:space="preserve">5.  </w:t>
      </w:r>
      <w:r>
        <w:t xml:space="preserve">Current guide source, real browser captures, build record and Word guide agree. Inspect every rendered page. Update the existing Google Doc ID from </w:t>
      </w:r>
      <w:r>
        <w:rPr>
          <w:rFonts w:ascii="Liberation Mono" w:hAnsi="Liberation Mono"/>
          <w:sz w:val="17"/>
        </w:rPr>
        <w:t>docs/user-guide/cloud.json</w:t>
      </w:r>
      <w:r>
        <w:t xml:space="preserve"> in place and verify its sharing. No passwords in the shared guide. Record any connection gate explicitly.</w:t>
      </w:r>
    </w:p>
    <w:p>
      <w:pPr>
        <w:spacing w:after="40"/>
        <w:ind w:left="432" w:hanging="317"/>
      </w:pPr>
      <w:r>
        <w:t xml:space="preserve">6.  </w:t>
      </w:r>
      <w:r>
        <w:t>Backup/recovery points, deployment sequence, operator coverage and a tested rollback procedure recorded. Founder signs GO or NO GO with date and scope.</w:t>
      </w:r>
    </w:p>
    <w:p>
      <w:pPr>
        <w:pStyle w:val="Heading1"/>
      </w:pPr>
      <w:r>
        <w:t>12 Release smoke test and rollback</w:t>
      </w:r>
    </w:p>
    <w:p>
      <w:r>
        <w:t>Before release, record the known-good frontend deployment and backend/schema revision, export backup, secret configuration owner and recovery procedure. The pre-reset prototype exports are historical recovery points, not a safe schema rollback target for new accounts. Rehearse restore locally first.</w:t>
      </w:r>
    </w:p>
    <w:p>
      <w:r>
        <w:t>Deploy the validated backend and auth component before its matching frontend, using the checked release path. Confirm the target deployment before any command. Preserve cloud pause until the release owner explicitly reactivates it. After deployment, check HTTPS/domain, health, public loading/unavailable states, verified signup/login, own workspace, a denied cross-org request, invite/revoke, private file access, sign-out and one authorized non-destructive material flow. Check audit events and console/network again. Test production email/SMS with controlled recipients. Perform a live payment/refund only after explicit provider readiness and founder authorization; otherwise keep that flow blocked.</w:t>
      </w:r>
    </w:p>
    <w:p>
      <w:r>
        <w:t>If a P0/P1 appears, stop launch and affected writes/sends, preserve redacted incident evidence and notify the founder/test lead. Disable the affected feature or serve the agreed unavailable state. Restore the known-good frontend only if its backend contract is compatible. Prefer a verified server fix for incompatible schema changes; do not blindly redeploy the pre-reset backend or delete new data. Use backup restore only through the incident owner and reviewed recovery plan. After recovery, repeat the smoke test and every affected case before reopening.</w:t>
      </w:r>
    </w:p>
    <w:p>
      <w:pPr>
        <w:pStyle w:val="Heading1"/>
      </w:pPr>
      <w:r>
        <w:t>13 Current execution record</w:t>
      </w:r>
    </w:p>
    <w:p>
      <w:r>
        <w:rPr>
          <w:b/>
        </w:rPr>
        <w:t>Checkpoint: 7 October 2026.</w:t>
      </w:r>
      <w:r>
        <w:t xml:space="preserve"> Integration branch </w:t>
      </w:r>
      <w:r>
        <w:rPr>
          <w:rFonts w:ascii="Liberation Mono" w:hAnsi="Liberation Mono"/>
          <w:sz w:val="17"/>
        </w:rPr>
        <w:t>codex/platform-refinement</w:t>
      </w:r>
      <w:r>
        <w:t xml:space="preserve">, base commit </w:t>
      </w:r>
      <w:r>
        <w:rPr>
          <w:rFonts w:ascii="Liberation Mono" w:hAnsi="Liberation Mono"/>
          <w:sz w:val="17"/>
        </w:rPr>
        <w:t>9146ce6</w:t>
      </w:r>
      <w:r>
        <w:t xml:space="preserve"> plus current task changes. These are local L0/L1 results, not production or provider results. The local site is </w:t>
      </w:r>
      <w:r>
        <w:rPr>
          <w:rFonts w:ascii="Liberation Mono" w:hAnsi="Liberation Mono"/>
          <w:sz w:val="17"/>
        </w:rPr>
        <w:t>http://localhost:3100</w:t>
      </w:r>
      <w:r>
        <w:t xml:space="preserve">; Convex uses </w:t>
      </w:r>
      <w:r>
        <w:rPr>
          <w:rFonts w:ascii="Liberation Mono" w:hAnsi="Liberation Mono"/>
          <w:sz w:val="17"/>
        </w:rPr>
        <w:t>127.0.0.1:3210/3211</w:t>
      </w:r>
      <w:r>
        <w:t xml:space="preserve">; the protected local delivery inbox uses port 3215. The final combined connected suite passed </w:t>
      </w:r>
      <w:r>
        <w:rPr>
          <w:b/>
        </w:rPr>
        <w:t>55 of 55 browser cases in 4.6 minutes</w:t>
      </w:r>
      <w:r>
        <w:t xml:space="preserve"> against the local production build on 7 October 2026. Evidence: </w:t>
      </w:r>
      <w:r>
        <w:rPr>
          <w:rFonts w:ascii="Liberation Mono" w:hAnsi="Liberation Mono"/>
          <w:sz w:val="17"/>
        </w:rPr>
        <w:t>/private/tmp/luma-final-connected-scope-copy.log</w:t>
      </w:r>
      <w:r>
        <w:t>. This includes the new sourcing, route/load, governed operations, private quality-file/report-sharing and dialog keyboard journeys, plus the existing account, workspace, material and financial flows. Full lint passed with zero errors and 20 warnings; production build, web/backend types and native tests (49 mobile, 22 desktop) passed.</w:t>
      </w:r>
    </w:p>
    <w:p>
      <w:r>
        <w:t>After that combined run, visual review found that stock without a market price showed a zero value. The correction keeps unavailable or partially priced stock values unavailable. All 20 focused stock tests and both connected byproduct cases passed; the browser rerun took 9.6 seconds. The production build passed again. The full visual matrix and final whole-project check are being refreshed for this correction; these targeted results do not replace those gates.</w:t>
      </w:r>
    </w:p>
    <w:p>
      <w:r>
        <w:t xml:space="preserve">Final responsive captures and original-image review, maintained Word rebuilds, same-ID Google Docs publication and the final full </w:t>
      </w:r>
      <w:r>
        <w:rPr>
          <w:rFonts w:ascii="Liberation Mono" w:hAnsi="Liberation Mono"/>
          <w:sz w:val="17"/>
        </w:rPr>
        <w:t>pnpm check</w:t>
      </w:r>
      <w:r>
        <w:t xml:space="preserve"> remain pending. The latest full unit preflight passed 2,306 of 2,322 tests in 79.58 seconds. All 16 failures are capture or Word freshness gates; no functional unit test failed. The full project check is still pending, including the final lint rerun. Protected PR/CI, backend-before-frontend deployment, production smoke tests and actual provider acceptance are separate pending gates. Local results do not establish production or provider execution.</w:t>
      </w:r>
    </w:p>
    <w:p>
      <w:r>
        <w:t xml:space="preserve">The financial backend passed 137 focused tests, backend types/scoped lint and independent review. The financial UI passed 50 focused tests. Current captures are being collected and inspected; Word, Google Docs and release checks follow. The earlier 49-case, 4.6-minute run in </w:t>
      </w:r>
      <w:r>
        <w:rPr>
          <w:rFonts w:ascii="Liberation Mono" w:hAnsi="Liberation Mono"/>
          <w:sz w:val="17"/>
        </w:rPr>
        <w:t>/private/tmp/luma-final-connected-4.log</w:t>
      </w:r>
      <w:r>
        <w:t xml:space="preserve"> is retained as the historical pre-bridge baseline, not the current result.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63"/>
        <w:gridCol w:w="7603"/>
      </w:tblGrid>
      <w:tr>
        <w:trPr>
          <w:cantSplit/>
          <w:tblHeader/>
          <w:cantSplit/>
          <w:tblHeader/>
        </w:trPr>
        <w:tc>
          <w:tcPr>
            <w:tcW w:type="dxa" w:w="2563"/>
            <w:vAlign w:val="center"/>
            <w:shd w:fill="DCE6EE"/>
            <w:tcMar>
              <w:top w:w="85" w:type="dxa"/>
              <w:left w:w="85" w:type="dxa"/>
              <w:bottom w:w="85" w:type="dxa"/>
              <w:right w:w="85" w:type="dxa"/>
            </w:tcMar>
          </w:tcPr>
          <w:p>
            <w:pPr>
              <w:spacing w:after="40" w:before="40" w:line="245" w:lineRule="auto"/>
            </w:pPr>
            <w:r>
              <w:rPr>
                <w:rFonts w:ascii="Arial" w:hAnsi="Arial"/>
                <w:b/>
                <w:color w:val="000000"/>
                <w:sz w:val="19"/>
              </w:rPr>
              <w:t>Check</w:t>
            </w:r>
          </w:p>
        </w:tc>
        <w:tc>
          <w:tcPr>
            <w:tcW w:type="dxa" w:w="7603"/>
            <w:vAlign w:val="center"/>
            <w:shd w:fill="DCE6EE"/>
            <w:tcMar>
              <w:top w:w="85" w:type="dxa"/>
              <w:left w:w="85" w:type="dxa"/>
              <w:bottom w:w="85" w:type="dxa"/>
              <w:right w:w="85" w:type="dxa"/>
            </w:tcMar>
          </w:tcPr>
          <w:p>
            <w:pPr>
              <w:spacing w:after="40" w:before="40" w:line="245" w:lineRule="auto"/>
            </w:pPr>
            <w:r>
              <w:rPr>
                <w:rFonts w:ascii="Arial" w:hAnsi="Arial"/>
                <w:b/>
                <w:color w:val="000000"/>
                <w:sz w:val="19"/>
              </w:rPr>
              <w:t>Result and limits</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Disposable accounts</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28 email identities use real local signup, verification and password sign-in. The guarded fixture adds synthetic domain records. Passwords remain in the restricted local annex.</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Account access</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PASS: all 28 role accounts complete their permitted navigation journey. The earlier household-coordinator, CSR-sponsor and team-viewer failures are resolved in the combined run. Screen access does not prove every business workflow.</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Workspace invitation</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PASS: invitation, matching-email checks, workspace isolation, switching, role removal and recovery. Transport failure shows an explicit manual retry. The invitation quota was allowed to expire naturally; no quota bypass was used.</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Email lifecycle and phone binding</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PASS: signup, verification, password login and reset, earlier-session revocation, replay and old-password denial, logout, and explicit binding of an unused phone to a verified email account. No real email or SMS delivery is proved.</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Household receipt</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PASS: actual local phone verification, pickup, kabadiwala weighing and direct household payment record. 1,250 g at 1,400 paise/kg gives 1,750 paise; duplicate completion is denied without duplicate stock.</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Admin and account TOTP</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PASS: fresh local admin setup, mandatory second factor, session rotation, logout and revoked-session denial; user TOTP enrollment and recovery controls are covered. Secrets stay outside screenshots and shared documents.</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Lots and quality</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PASS: exact mass, balanced transformation, inspection correction and separate approval, viewer denial, dispatch, receiver privacy, weight checks and custody transfer. These evidence records do not change commercial inventory or payment.</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Industry and facility records</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PASS: workbook reference selection, facility processes, reported registration references and corrections, classified outputs, controlled disposition and multiple input lots. The test combines 800 g and 200 g into four 250 g outputs. Reference data and date status do not prove regulatory approval.</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Manufacturer stock and offers</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PASS: audited own-production intake, idempotent retry, immutable receipt, material classification, eligible byproduct offer, buyer request and seller acceptance. Evidence-only lot records do not create stock. Payment remains gated.</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Commercial document references</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PASS: own-workspace access, reported and unverified references, append-only replacements and permission denial. No document issuance or portal verification is claimed.</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Payment boundary</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Local backend and browser checks pass for guarded configuration and the unavailable sandbox state. No actual Cashfree checkout, collection, refund or seller settlement was executed. Accepted trade and inventory cannot advance from browser payment claims.</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Project checks</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Web/backend types, production build and full lint pass (zero errors, 20 warnings). Native tests pass: 49 mobile and 22 desktop. Latest unit preflight: 2,306 passes and 16 capture/Word freshness failures; no functional unit failures. Final lint rerun pending. Final full check is not yet green.</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Translation checks</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PASS: 33 locale catalogues, 2,940 keys each, zero catalogue audit issues. This does not replace native-language review.</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Combined connected browser run</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PASS: 55 of 55 cases in 4.6 minutes against the local production build, including sourcing, logistics, private quality files/report sharing, governed operations, intake, classification, multiple-input, workspace recovery, unpaid cancellation and inactive policy save. No provider execution or deployed readiness is claimed.</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Visual review and documents</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Final responsive captures are active from the frozen checked source. Inspection of every original, final guide and Word freshness checks, and the same-ID Google Docs update remain pending. Earlier captures and component fixtures retain their stated limits.</w:t>
            </w:r>
          </w:p>
        </w:tc>
      </w:tr>
      <w:tr>
        <w:trPr>
          <w:cantSplit/>
          <w:cantSplit/>
        </w:trPr>
        <w:tc>
          <w:tcPr>
            <w:tcW w:type="dxa" w:w="256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Deployment</w:t>
            </w:r>
          </w:p>
        </w:tc>
        <w:tc>
          <w:tcPr>
            <w:tcW w:type="dxa" w:w="7603"/>
            <w:vAlign w:val="center"/>
            <w:shd w:fill="FFFFFF"/>
            <w:tcMar>
              <w:top w:w="85" w:type="dxa"/>
              <w:left w:w="85" w:type="dxa"/>
              <w:bottom w:w="85" w:type="dxa"/>
              <w:right w:w="85" w:type="dxa"/>
            </w:tcMar>
          </w:tcPr>
          <w:p>
            <w:pPr>
              <w:spacing w:after="40" w:before="40" w:line="245" w:lineRule="auto"/>
            </w:pPr>
            <w:r>
              <w:rPr>
                <w:rFonts w:ascii="Arial" w:hAnsi="Arial"/>
                <w:b w:val="0"/>
                <w:color w:val="000000"/>
                <w:sz w:val="19"/>
              </w:rPr>
              <w:t>Protected PR, hosted CI, production deployment and production smoke tests remain separate pending gates. The passing local run does not establish live readiness.</w:t>
            </w:r>
          </w:p>
        </w:tc>
      </w:tr>
    </w:tbl>
    <w:p>
      <w:pPr>
        <w:spacing w:before="140"/>
      </w:pPr>
      <w:r>
        <w:t>The private credentials annex contains no admin TOTP or recovery secrets. No passwords have been added to this plan or the shared guide. The test runner suppresses automatic failure snapshots that could expose enrollment secrets; assertions, request limits and authorization checks remain active.</w:t>
      </w:r>
    </w:p>
    <w:p>
      <w:r>
        <w:t>Email sender/inbox delivery, MSG91 approval and real SMS, Cashfree merchant and seller approval, live payment/refund/settlement, production smoke tests and native installer release have no current pass evidence. The business decision on gateway, refund and chargeback costs is also pending. Do not infer complete launch readiness from the local results.</w:t>
      </w:r>
    </w:p>
    <w:p>
      <w:pPr>
        <w:pStyle w:val="Heading1"/>
      </w:pPr>
      <w:r>
        <w:t>14 Reference material</w:t>
      </w:r>
    </w:p>
    <w:p>
      <w:pPr>
        <w:pStyle w:val="ListBullet"/>
      </w:pPr>
      <w:hyperlink r:id="rId9">
        <w:r>
          <w:rPr>
            <w:u w:val="single"/>
          </w:rPr>
          <w:t>Current requirements and approval record</w:t>
        </w:r>
      </w:hyperlink>
      <w:r>
        <w:t>.</w:t>
      </w:r>
    </w:p>
    <w:p>
      <w:pPr>
        <w:pStyle w:val="ListBullet"/>
      </w:pPr>
      <w:hyperlink r:id="rId12">
        <w:r>
          <w:rPr>
            <w:u w:val="single"/>
          </w:rPr>
          <w:t>Service setup and exact settings</w:t>
        </w:r>
      </w:hyperlink>
      <w:r>
        <w:t xml:space="preserve"> and </w:t>
      </w:r>
      <w:hyperlink r:id="rId13">
        <w:r>
          <w:rPr>
            <w:u w:val="single"/>
          </w:rPr>
          <w:t>service inventory</w:t>
        </w:r>
      </w:hyperlink>
      <w:r>
        <w:t>.</w:t>
      </w:r>
    </w:p>
    <w:p>
      <w:pPr>
        <w:pStyle w:val="ListBullet"/>
      </w:pPr>
      <w:hyperlink r:id="rId14">
        <w:r>
          <w:rPr>
            <w:u w:val="single"/>
          </w:rPr>
          <w:t>UI acceptance contract</w:t>
        </w:r>
      </w:hyperlink>
      <w:r>
        <w:t xml:space="preserve"> and </w:t>
      </w:r>
      <w:hyperlink r:id="rId15">
        <w:r>
          <w:rPr>
            <w:u w:val="single"/>
          </w:rPr>
          <w:t>guide update process</w:t>
        </w:r>
      </w:hyperlink>
      <w:r>
        <w:t>.</w:t>
      </w:r>
    </w:p>
    <w:p>
      <w:pPr>
        <w:pStyle w:val="ListBullet"/>
      </w:pPr>
      <w:hyperlink r:id="rId16">
        <w:r>
          <w:rPr>
            <w:u w:val="single"/>
          </w:rPr>
          <w:t>Better Auth installation</w:t>
        </w:r>
      </w:hyperlink>
      <w:r>
        <w:t xml:space="preserve"> and </w:t>
      </w:r>
      <w:hyperlink r:id="rId17">
        <w:r>
          <w:rPr>
            <w:u w:val="single"/>
          </w:rPr>
          <w:t>Convex local deployment limits</w:t>
        </w:r>
      </w:hyperlink>
      <w:r>
        <w:t>.</w:t>
      </w:r>
    </w:p>
    <w:p>
      <w:pPr>
        <w:pStyle w:val="ListBullet"/>
      </w:pPr>
      <w:hyperlink r:id="rId18">
        <w:r>
          <w:rPr>
            <w:u w:val="single"/>
          </w:rPr>
          <w:t>Resend sender domains</w:t>
        </w:r>
      </w:hyperlink>
      <w:r>
        <w:t xml:space="preserve"> and </w:t>
      </w:r>
      <w:hyperlink r:id="rId19">
        <w:r>
          <w:rPr>
            <w:u w:val="single"/>
          </w:rPr>
          <w:t>API keys</w:t>
        </w:r>
      </w:hyperlink>
      <w:r>
        <w:t>.</w:t>
      </w:r>
    </w:p>
    <w:p>
      <w:pPr>
        <w:pStyle w:val="ListBullet"/>
      </w:pPr>
      <w:hyperlink r:id="rId20">
        <w:r>
          <w:rPr>
            <w:u w:val="single"/>
          </w:rPr>
          <w:t>MSG91 DLT template guidance</w:t>
        </w:r>
      </w:hyperlink>
      <w:r>
        <w:t xml:space="preserve"> and </w:t>
      </w:r>
      <w:hyperlink r:id="rId21">
        <w:r>
          <w:rPr>
            <w:u w:val="single"/>
          </w:rPr>
          <w:t>Flow template setup</w:t>
        </w:r>
      </w:hyperlink>
      <w:r>
        <w:t>.</w:t>
      </w:r>
    </w:p>
    <w:p>
      <w:pPr>
        <w:pStyle w:val="ListBullet"/>
      </w:pPr>
      <w:hyperlink r:id="rId22">
        <w:r>
          <w:rPr>
            <w:u w:val="single"/>
          </w:rPr>
          <w:t>Convex and Vercel deployment</w:t>
        </w:r>
      </w:hyperlink>
      <w:r>
        <w:t>.</w:t>
      </w:r>
    </w:p>
    <w:p>
      <w:pPr>
        <w:pStyle w:val="ListBullet"/>
      </w:pPr>
      <w:hyperlink r:id="rId23">
        <w:r>
          <w:rPr>
            <w:u w:val="single"/>
          </w:rPr>
          <w:t>Razorpay Route</w:t>
        </w:r>
      </w:hyperlink>
      <w:r>
        <w:t xml:space="preserve"> and </w:t>
      </w:r>
      <w:hyperlink r:id="rId24">
        <w:r>
          <w:rPr>
            <w:u w:val="single"/>
          </w:rPr>
          <w:t>Cashfree Easy Split</w:t>
        </w:r>
      </w:hyperlink>
      <w:r>
        <w:t>, comparison sources; Cashfree is selected, subject to provider approval.</w:t>
      </w:r>
    </w:p>
    <w:p>
      <w:pPr>
        <w:pStyle w:val="ListBullet"/>
      </w:pPr>
      <w:hyperlink r:id="rId25">
        <w:r>
          <w:rPr>
            <w:u w:val="single"/>
          </w:rPr>
          <w:t>Expo store builds and account requirements</w:t>
        </w:r>
      </w:hyperlink>
      <w:r>
        <w:t>.</w:t>
      </w:r>
    </w:p>
    <w:sectPr w:rsidR="00FC693F" w:rsidRPr="0006063C" w:rsidSect="00034616">
      <w:footerReference w:type="default" r:id="rId26"/>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Luma Green Launch Test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50"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0" w:lineRule="auto"/>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0" w:lineRule="auto"/>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umaCode">
    <w:name w:val="Luma Code"/>
    <w:pPr>
      <w:spacing w:after="20" w:line="245" w:lineRule="auto"/>
      <w:ind w:left="230"/>
    </w:pPr>
    <w:rPr>
      <w:rFonts w:ascii="Liberation Mono" w:hAnsi="Liberation Mono"/>
      <w:b w:val="0"/>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ungaaaabungaaa/Luma.Green/blob/main/docs/product/platform-refinement-interview.md" TargetMode="External"/><Relationship Id="rId10" Type="http://schemas.openxmlformats.org/officeDocument/2006/relationships/hyperlink" Target="https://github.com/ungaaaabungaaa/Luma.Green/blob/main/docs/decisions/0019-gateway-only-business-payments.md" TargetMode="External"/><Relationship Id="rId11" Type="http://schemas.openxmlformats.org/officeDocument/2006/relationships/hyperlink" Target="https://github.com/ungaaaabungaaa/Luma.Green/blob/main/docs/testing/team-end-to-end-manual.md" TargetMode="External"/><Relationship Id="rId12" Type="http://schemas.openxmlformats.org/officeDocument/2006/relationships/hyperlink" Target="https://github.com/ungaaaabungaaa/Luma.Green/blob/main/docs/operations/launch-checklist.md" TargetMode="External"/><Relationship Id="rId13" Type="http://schemas.openxmlformats.org/officeDocument/2006/relationships/hyperlink" Target="https://github.com/ungaaaabungaaa/Luma.Green/blob/main/docs/operations/services.md" TargetMode="External"/><Relationship Id="rId14" Type="http://schemas.openxmlformats.org/officeDocument/2006/relationships/hyperlink" Target="https://github.com/ungaaaabungaaa/Luma.Green/blob/main/docs/design/designer-system.md#current-ui-contract" TargetMode="External"/><Relationship Id="rId15" Type="http://schemas.openxmlformats.org/officeDocument/2006/relationships/hyperlink" Target="https://github.com/ungaaaabungaaa/Luma.Green/blob/main/docs/user-guide/README.md" TargetMode="External"/><Relationship Id="rId16" Type="http://schemas.openxmlformats.org/officeDocument/2006/relationships/hyperlink" Target="https://better-auth.com/docs/installation" TargetMode="External"/><Relationship Id="rId17" Type="http://schemas.openxmlformats.org/officeDocument/2006/relationships/hyperlink" Target="https://docs.convex.dev/cli/local-deployments" TargetMode="External"/><Relationship Id="rId18" Type="http://schemas.openxmlformats.org/officeDocument/2006/relationships/hyperlink" Target="https://resend.com/docs/dashboard/domains/introduction" TargetMode="External"/><Relationship Id="rId19" Type="http://schemas.openxmlformats.org/officeDocument/2006/relationships/hyperlink" Target="https://resend.com/docs/dashboard/api-keys/introduction" TargetMode="External"/><Relationship Id="rId20" Type="http://schemas.openxmlformats.org/officeDocument/2006/relationships/hyperlink" Target="https://msg91.com/help/dlt-registration-in-india/dlt-content-template-faqs/" TargetMode="External"/><Relationship Id="rId21" Type="http://schemas.openxmlformats.org/officeDocument/2006/relationships/hyperlink" Target="https://msg91.com/help/template/how-to-create-flow-id-to-send-sms-via-api" TargetMode="External"/><Relationship Id="rId22" Type="http://schemas.openxmlformats.org/officeDocument/2006/relationships/hyperlink" Target="https://docs.convex.dev/production/hosting/vercel" TargetMode="External"/><Relationship Id="rId23" Type="http://schemas.openxmlformats.org/officeDocument/2006/relationships/hyperlink" Target="https://razorpay.com/docs/payments/route/" TargetMode="External"/><Relationship Id="rId24" Type="http://schemas.openxmlformats.org/officeDocument/2006/relationships/hyperlink" Target="https://www.cashfree.com/docs/payments/split/overview" TargetMode="External"/><Relationship Id="rId25" Type="http://schemas.openxmlformats.org/officeDocument/2006/relationships/hyperlink" Target="https://docs.expo.dev/deploy/build-project/" TargetMode="Externa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Luma Green Launch Test Plan</dc:title>
  <dc:subject>Launch acceptance plan for 10 October 2026</dc:subject>
  <dc:creator>Luma.Green</dc:creator>
  <cp:keywords/>
  <dc:description>generated by python-docx</dc:description>
  <cp:lastModifiedBy/>
  <cp:revision>1</cp:revision>
  <dcterms:created xsi:type="dcterms:W3CDTF">2013-12-23T23:15:00Z</dcterms:created>
  <dcterms:modified xsi:type="dcterms:W3CDTF">2013-12-23T23:15:00Z</dcterms:modified>
  <cp:category/>
</cp:coreProperties>
</file>