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public banner revision. Source baseline: ff7bb64. Includes the UI detail pass and wide artwork banners on the main public pages, with taller image crops on phones.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The local review address is http://localhost:3004.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Language selection in the disconnected local build. This screen remains available before SMS is configured.</w:t>
      </w:r>
    </w:p>
    <w:p>
      <w:pPr>
        <w:ind w:left="245" w:hanging="245"/>
      </w:pPr>
      <w:r>
        <w:t>1. Open /login. If the language chooser appears, choose your language.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19"/>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0"/>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twelve languages are English, Hindi, Bengali, Marathi, Telugu, Tamil, Gujarati, Kannada, Malayalam, Punjabi, Urdu and Arabic. The header language control shows the current language in its own script, for example English or العربية. Open it to choose another language. On phones, the brand appears as its icon; the full name appears on wider screens. Arabic and Urdu use right-to-left layouts. The admin console is English-only.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2" name="Picture 12"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1"/>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w:t>
      </w:r>
    </w:p>
    <w:p>
      <w:pPr>
        <w:pageBreakBefore w:val="0"/>
      </w:pPr>
      <w:r>
        <w:t>The draft is kept in this browser tab during the flow. A closed tab or reset can remove the draft. A submitted booking is a backend record. Do not treat a draft as a confirmed booking.</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5021" cy="7680958"/>
            <wp:docPr id="13" name="Picture 13"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2"/>
                    <a:stretch>
                      <a:fillRect/>
                    </a:stretch>
                  </pic:blipFill>
                  <pic:spPr>
                    <a:xfrm>
                      <a:off x="0" y="0"/>
                      <a:ext cx="2225021"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4" name="Picture 14"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3"/>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4"/>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16" name="Picture 16"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25"/>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17" name="Picture 17"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26"/>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18" name="Picture 18"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27"/>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Use More for the role's additional pages. On wider screens the same app can show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19" name="Picture 19"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28"/>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0" name="Picture 20"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29"/>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1" name="Picture 21"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0"/>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2" name="Picture 22"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1"/>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2"/>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24" name="Picture 24"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33"/>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25" name="Picture 25"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34"/>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26" name="Picture 26"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35"/>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27" name="Picture 27"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36"/>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28" name="Picture 28"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37"/>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29" name="Picture 29"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38"/>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0" name="Picture 30"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39"/>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1" name="Picture 31"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0"/>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32" name="Picture 32"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1"/>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Use the current job's action when the work is complete.</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33" name="Picture 33"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42"/>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that address only when ready to complete setup immediately.</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Sign out and test a normal sign-in.</w:t>
      </w:r>
    </w:p>
    <w:p>
      <w:pPr>
        <w:pageBreakBefore w:val="0"/>
      </w:pPr>
      <w:r>
        <w:t>Do not include a real password, authenticator key, QR code, backup code or identity file in a screenshot or this guide. Setup checks the configured email address; it does not prove mailbox ownership through a verification email. If an unexpected person claimed it, stop and use an owner-led recovery procedure.</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34" name="Picture 34"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43"/>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35" name="Picture 35"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36" name="Picture 36"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45"/>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37" name="Picture 37"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46"/>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38" name="Picture 38"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47"/>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39" name="Picture 39"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48"/>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40" name="Picture 40"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49"/>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41" name="Picture 41"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50"/>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42" name="Picture 42"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51"/>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43" name="Picture 43"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52"/>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44" name="Picture 44"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53"/>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45" name="Picture 45"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54"/>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in the intended backend; immediate admin setup</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46" name="Picture 46"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55"/>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When data is available, choose a material to inspect its price detail and history. Check the city, unit and sample-data notice.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47" name="Picture 47"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56"/>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48" name="Picture 48"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57"/>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header language control to change language.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49" name="Picture 49"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58"/>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50" name="Picture 50"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59"/>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51" name="Picture 51"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60"/>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52" name="Picture 52"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61"/>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53" name="Picture 53"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62"/>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it does not submit the failed operation again automatically.</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twelve languages. The language control changes text, direction and number formatting; it does not change access or stored records.</w:t>
      </w:r>
    </w:p>
    <w:p>
      <w:pPr>
        <w:pageBreakBefore w:val="0"/>
      </w:pPr>
      <w:r>
        <w:t>Use Appearance in the header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54" name="Picture 5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desktop header shows the main navigation links. On a phone, open the menu for links and sign-in. The language and appearance controls remain in the header. Use the page's Sell scrap, Join and help links to open a workflow.</w:t>
      </w:r>
    </w:p>
    <w:p>
      <w:pPr>
        <w:keepNext/>
        <w:pageBreakBefore w:val="0"/>
        <w:spacing w:after="80"/>
      </w:pPr>
      <w:r>
        <w:drawing>
          <wp:inline xmlns:a="http://schemas.openxmlformats.org/drawingml/2006/main" xmlns:pic="http://schemas.openxmlformats.org/drawingml/2006/picture">
            <wp:extent cx="5722112" cy="4023360"/>
            <wp:docPr id="55" name="Picture 55"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64"/>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1560620"/>
            <wp:docPr id="56" name="Picture 56"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65"/>
                    <a:stretch>
                      <a:fillRect/>
                    </a:stretch>
                  </pic:blipFill>
                  <pic:spPr>
                    <a:xfrm>
                      <a:off x="0" y="0"/>
                      <a:ext cx="6263640" cy="1560620"/>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1560620"/>
            <wp:docPr id="57" name="Picture 57"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66"/>
                    <a:stretch>
                      <a:fillRect/>
                    </a:stretch>
                  </pic:blipFill>
                  <pic:spPr>
                    <a:xfrm>
                      <a:off x="0" y="0"/>
                      <a:ext cx="6263640" cy="1560620"/>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1560620"/>
            <wp:docPr id="58" name="Picture 58"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67"/>
                    <a:stretch>
                      <a:fillRect/>
                    </a:stretch>
                  </pic:blipFill>
                  <pic:spPr>
                    <a:xfrm>
                      <a:off x="0" y="0"/>
                      <a:ext cx="6263640" cy="1560620"/>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59" name="Picture 59"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68"/>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60" name="Picture 60"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69"/>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61" name="Picture 61"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70"/>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62" name="Picture 62"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71"/>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