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Luma Green Platform Refinement Interview</w:t>
      </w:r>
    </w:p>
    <w:p>
      <w:pPr>
        <w:spacing w:after="160"/>
        <w:ind w:left="202"/>
      </w:pPr>
      <w:r>
        <w:rPr>
          <w:b/>
        </w:rPr>
        <w:t>Status:</w:t>
      </w:r>
      <w:r>
        <w:t xml:space="preserve"> implementation requested on 6 October 2026. This is the single running record of the founder's refined requirements. Append each new interview decision here first, then update the linked product summaries. Unresolved commercial and legal choices remain open while compatible implementation proceeds.</w:t>
      </w:r>
    </w:p>
    <w:p>
      <w:pPr>
        <w:pStyle w:val="Heading1"/>
      </w:pPr>
      <w:r>
        <w:t>How this interview works</w:t>
      </w:r>
    </w:p>
    <w:p>
      <w:r>
        <w:t>Record what the founder says, then test each unclear claim against the actual user flow, current implementation and current source material. Separate a confirmed requirement from an example, assumption or feasibility question. When two statements differ, record both and ask a focused question. Update the implementation plan only after the team verifies the requirement and its feasibility. Only confirmed behavior can become a live workflow. A proposal can become an internal or evidence-only capability while its owners remain open.</w:t>
      </w:r>
    </w:p>
    <w:p>
      <w:pPr>
        <w:pStyle w:val="Heading1"/>
      </w:pPr>
      <w:r>
        <w:t>Interview entry 4 October 2026</w:t>
      </w:r>
    </w:p>
    <w:p>
      <w:pPr>
        <w:pStyle w:val="Heading2"/>
      </w:pPr>
      <w:r>
        <w:t>Confirmed direction</w:t>
      </w:r>
    </w:p>
    <w:p>
      <w:pPr>
        <w:pStyle w:val="ListBullet"/>
      </w:pPr>
      <w:r>
        <w:rPr>
          <w:b/>
        </w:rPr>
        <w:t>Business model:</w:t>
      </w:r>
      <w:r>
        <w:t xml:space="preserve"> Luma.Green is a software-as-a-service (SaaS) business. Subscription prices, billing and the paying customer are still open.</w:t>
      </w:r>
    </w:p>
    <w:p>
      <w:pPr>
        <w:pStyle w:val="ListBullet"/>
      </w:pPr>
      <w:r>
        <w:rPr>
          <w:b/>
        </w:rPr>
        <w:t>Household collection and payment:</w:t>
      </w:r>
      <w:r>
        <w:t xml:space="preserve"> the kabadiwala buys household material and pays the household. Luma does not intervene in that payment. The household team's operational role still needs definition. Keep both S2P segment models open until the founder chooses one.</w:t>
      </w:r>
    </w:p>
    <w:p>
      <w:pPr>
        <w:pStyle w:val="ListBullet"/>
      </w:pPr>
      <w:r>
        <w:rPr>
          <w:b/>
        </w:rPr>
        <w:t>Procure-to-pay (P2P):</w:t>
      </w:r>
      <w:r>
        <w:t xml:space="preserve"> the new example uses P2P for the procurement execution flow after supplier sourcing and approval. Do not use P2P to mean “peer-to-peer.” The flow covers purchase request, purchase order, dispatch, receipt, quality acceptance, invoice matching, payment approval and status.</w:t>
      </w:r>
    </w:p>
    <w:p>
      <w:pPr>
        <w:pStyle w:val="ListBullet"/>
      </w:pPr>
      <w:r>
        <w:rPr>
          <w:b/>
        </w:rPr>
        <w:t>Business model:</w:t>
      </w:r>
      <w:r>
        <w:t xml:space="preserve"> Luma.Green provides SaaS and does not own material simply because it records a trade. Keep the physical-material price, Luma service price and any optional transaction service fee as separate price objects.</w:t>
      </w:r>
    </w:p>
    <w:p>
      <w:pPr>
        <w:pStyle w:val="ListBullet"/>
      </w:pPr>
      <w:r>
        <w:rPr>
          <w:b/>
        </w:rPr>
        <w:t>Business segmentation:</w:t>
      </w:r>
      <w:r>
        <w:t xml:space="preserve"> keep both models open: (1) household sourcing uses S2P, and business purchases use P2P; or (2) business buyers use S2P supplier sourcing followed by P2P procurement execution. Manufacturers are included, including when they offer byproducts. A manufacturer may buy material, offer byproducts, or do both.</w:t>
      </w:r>
    </w:p>
    <w:p>
      <w:pPr>
        <w:pStyle w:val="ListBullet"/>
      </w:pPr>
      <w:r>
        <w:rPr>
          <w:b/>
        </w:rPr>
        <w:t>Participant term:</w:t>
      </w:r>
      <w:r>
        <w:t xml:space="preserve"> use </w:t>
      </w:r>
      <w:r>
        <w:rPr>
          <w:b/>
        </w:rPr>
        <w:t>non-household material generators</w:t>
      </w:r>
      <w:r>
        <w:t xml:space="preserve"> for manufacturers, apartment communities, offices, hotels, resorts and similar organisations that may supply material. This term describes the source group; it does not create a new legal entity type or require every member to sell.</w:t>
      </w:r>
    </w:p>
    <w:p>
      <w:pPr>
        <w:pStyle w:val="ListBullet"/>
      </w:pPr>
      <w:r>
        <w:rPr>
          <w:b/>
        </w:rPr>
        <w:t>Role name:</w:t>
      </w:r>
      <w:r>
        <w:t xml:space="preserve"> use </w:t>
      </w:r>
      <w:r>
        <w:rPr>
          <w:b/>
        </w:rPr>
        <w:t>preprocessor</w:t>
      </w:r>
      <w:r>
        <w:t xml:space="preserve"> for the participant previously described as an aggregator. “Yard” may describe the physical site. Use “preprocessor” for the participant in product language and documentation.</w:t>
      </w:r>
    </w:p>
    <w:p>
      <w:pPr>
        <w:pStyle w:val="Heading2"/>
      </w:pPr>
      <w:r>
        <w:t>Participant list</w:t>
      </w:r>
    </w:p>
    <w:p>
      <w:pPr>
        <w:pStyle w:val="ListBullet"/>
      </w:pPr>
      <w:r>
        <w:rPr>
          <w:b/>
        </w:rPr>
        <w:t>Household team</w:t>
      </w:r>
      <w:r>
        <w:t xml:space="preserve"> — may coordinate household collection; it does not buy or pay for the material. Its exact work with kabadiwalas remains open.</w:t>
      </w:r>
    </w:p>
    <w:p>
      <w:pPr>
        <w:pStyle w:val="ListBullet"/>
      </w:pPr>
      <w:r>
        <w:rPr>
          <w:b/>
        </w:rPr>
        <w:t>Kabadiwalas</w:t>
      </w:r>
      <w:r>
        <w:t xml:space="preserve"> — trade participants; their buying and selling process is open.</w:t>
      </w:r>
    </w:p>
    <w:p>
      <w:pPr>
        <w:pStyle w:val="ListBullet"/>
      </w:pPr>
      <w:r>
        <w:rPr>
          <w:b/>
        </w:rPr>
        <w:t>Preprocessors</w:t>
      </w:r>
      <w:r>
        <w:t xml:space="preserve"> — trade participants; their buying and selling process is open.</w:t>
      </w:r>
    </w:p>
    <w:p>
      <w:pPr>
        <w:pStyle w:val="ListBullet"/>
      </w:pPr>
      <w:r>
        <w:rPr>
          <w:b/>
        </w:rPr>
        <w:t>Recyclers</w:t>
      </w:r>
      <w:r>
        <w:t xml:space="preserve"> — buyers of processed material and possible sellers of recycled outputs; their sourcing and procurement scope is open.</w:t>
      </w:r>
    </w:p>
    <w:p>
      <w:pPr>
        <w:pStyle w:val="ListBullet"/>
      </w:pPr>
      <w:r>
        <w:rPr>
          <w:b/>
        </w:rPr>
        <w:t>Manufacturers</w:t>
      </w:r>
      <w:r>
        <w:t xml:space="preserve"> — include all manufacturers; they may buy material and may offer byproducts through the material-trade workflow.</w:t>
      </w:r>
    </w:p>
    <w:p>
      <w:pPr>
        <w:pStyle w:val="ListBullet"/>
      </w:pPr>
      <w:r>
        <w:rPr>
          <w:b/>
        </w:rPr>
        <w:t>Apartment communities, offices, hotels and resorts</w:t>
      </w:r>
      <w:r>
        <w:t xml:space="preserve"> — included as non-household material generators and material-trade participants.</w:t>
      </w:r>
    </w:p>
    <w:p>
      <w:pPr>
        <w:pStyle w:val="ListBullet"/>
      </w:pPr>
      <w:r>
        <w:rPr>
          <w:b/>
        </w:rPr>
        <w:t>Other non-household material generators</w:t>
      </w:r>
      <w:r>
        <w:t xml:space="preserve"> — included under the same term when they can offer relevant material.</w:t>
      </w:r>
    </w:p>
    <w:p>
      <w:pPr>
        <w:pStyle w:val="ListBullet"/>
      </w:pPr>
      <w:r>
        <w:rPr>
          <w:b/>
        </w:rPr>
        <w:t>Saathis</w:t>
      </w:r>
      <w:r>
        <w:t xml:space="preserve"> — retain the participant role. Their work and payment flow needs a separate interview decision; do not treat job payments as material trades.</w:t>
      </w:r>
    </w:p>
    <w:p>
      <w:pPr>
        <w:pStyle w:val="ListBullet"/>
      </w:pPr>
      <w:r>
        <w:rPr>
          <w:b/>
        </w:rPr>
        <w:t>Luma.Green administrators</w:t>
      </w:r>
      <w:r>
        <w:t xml:space="preserve"> — operate the SaaS; they are not material-trade counterparties by default.</w:t>
      </w:r>
    </w:p>
    <w:p>
      <w:pPr>
        <w:pStyle w:val="Heading1"/>
      </w:pPr>
      <w:r>
        <w:t>Items still to define</w:t>
      </w:r>
    </w:p>
    <w:p>
      <w:r>
        <w:t>These points are not decided by the confirmed direction above:</w:t>
      </w:r>
    </w:p>
    <w:p>
      <w:pPr>
        <w:spacing w:after="40"/>
        <w:ind w:left="432" w:hanging="317"/>
      </w:pPr>
      <w:r>
        <w:t xml:space="preserve">1.  </w:t>
      </w:r>
      <w:r>
        <w:t>Which business segmentation model should Luma use: household-only S2P with P2P for business purchases, or S2P supplier sourcing followed by P2P procurement execution for business buyers too? The founder asked to keep both models open for now.</w:t>
      </w:r>
    </w:p>
    <w:p>
      <w:pPr>
        <w:spacing w:after="40"/>
        <w:ind w:left="432" w:hanging="317"/>
      </w:pPr>
      <w:r>
        <w:t xml:space="preserve">2.  </w:t>
      </w:r>
      <w:r>
        <w:t>Who is the buyer and supplier at each PET lifecycle stage? Which party sources suppliers, approves them, issues the purchase order and pays?</w:t>
      </w:r>
    </w:p>
    <w:p>
      <w:pPr>
        <w:spacing w:after="40"/>
        <w:ind w:left="432" w:hanging="317"/>
      </w:pPr>
      <w:r>
        <w:t xml:space="preserve">3.  </w:t>
      </w:r>
      <w:r>
        <w:t>Does P2P cover every non-household material purchase, or only procurement after suppliers have been sourced and approved?</w:t>
      </w:r>
    </w:p>
    <w:p>
      <w:pPr>
        <w:spacing w:after="40"/>
        <w:ind w:left="432" w:hanging="317"/>
      </w:pPr>
      <w:r>
        <w:t xml:space="preserve">4.  </w:t>
      </w:r>
      <w:r>
        <w:t>Which payment gateway will execute B2B trades, and who may collect a disclosed transaction service fee? Until it is integrated and verified, payment-dependent actions remain blocked.</w:t>
      </w:r>
    </w:p>
    <w:p>
      <w:pPr>
        <w:spacing w:after="40"/>
        <w:ind w:left="432" w:hanging="317"/>
      </w:pPr>
      <w:r>
        <w:t xml:space="preserve">5.  </w:t>
      </w:r>
      <w:r>
        <w:t>Which material grades launch first, and what buyer-specific limits apply to contamination, moisture, colour, PVC, labels and polyolefins?</w:t>
      </w:r>
    </w:p>
    <w:p>
      <w:pPr>
        <w:spacing w:after="40"/>
        <w:ind w:left="432" w:hanging="317"/>
      </w:pPr>
      <w:r>
        <w:t xml:space="preserve">6.  </w:t>
      </w:r>
      <w:r>
        <w:t>Which tests and documents prove quality at each hand-off? Who can approve an inspection, and what correction process records a changed result?</w:t>
      </w:r>
    </w:p>
    <w:p>
      <w:pPr>
        <w:spacing w:after="40"/>
        <w:ind w:left="432" w:hanging="317"/>
      </w:pPr>
      <w:r>
        <w:t xml:space="preserve">7.  </w:t>
      </w:r>
      <w:r>
        <w:t>What exact organisation, facility, site and staff model should generators, preprocessors, recyclers and manufacturers use?</w:t>
      </w:r>
    </w:p>
    <w:p>
      <w:pPr>
        <w:spacing w:after="40"/>
        <w:ind w:left="432" w:hanging="317"/>
      </w:pPr>
      <w:r>
        <w:t xml:space="preserve">8.  </w:t>
      </w:r>
      <w:r>
        <w:t>Which checks apply to each organisation, facility and material? Which parties need GST, state pollution-control consent or CPCB registration?</w:t>
      </w:r>
    </w:p>
    <w:p>
      <w:pPr>
        <w:spacing w:after="40"/>
        <w:ind w:left="432" w:hanging="317"/>
      </w:pPr>
      <w:r>
        <w:t xml:space="preserve">9.  </w:t>
      </w:r>
      <w:r>
        <w:t>Should Luma only store compliance evidence and portal references, or prepare portal submissions too? Any integration needs legal and technical approval.</w:t>
      </w:r>
    </w:p>
    <w:p>
      <w:pPr>
        <w:spacing w:after="40"/>
        <w:ind w:left="432" w:hanging="317"/>
      </w:pPr>
      <w:r>
        <w:t xml:space="preserve">10.  </w:t>
      </w:r>
      <w:r>
        <w:t>For each movement, who is responsible for the invoice, e-way bill, transport, receipt, payment and dispute?</w:t>
      </w:r>
    </w:p>
    <w:p>
      <w:pPr>
        <w:spacing w:after="40"/>
        <w:ind w:left="432" w:hanging="317"/>
      </w:pPr>
      <w:r>
        <w:t xml:space="preserve">11.  </w:t>
      </w:r>
      <w:r>
        <w:t>Who buys the SaaS subscription, how does billing work, and do plans vary by participant type, site, seats or use?</w:t>
      </w:r>
    </w:p>
    <w:p>
      <w:pPr>
        <w:spacing w:after="40"/>
        <w:ind w:left="432" w:hanging="317"/>
      </w:pPr>
      <w:r>
        <w:t xml:space="preserve">12.  </w:t>
      </w:r>
      <w:r>
        <w:t>Is Saathi work a separate service marketplace, and who hires and pays a Saathi?</w:t>
      </w:r>
    </w:p>
    <w:p>
      <w:pPr>
        <w:spacing w:after="40"/>
        <w:ind w:left="432" w:hanging="317"/>
      </w:pPr>
      <w:r>
        <w:t xml:space="preserve">13.  </w:t>
      </w:r>
      <w:r>
        <w:t>Which reports distinguish household collection, business procurement, material transformations, quality and compliance evidence?</w:t>
      </w:r>
    </w:p>
    <w:p>
      <w:pPr>
        <w:spacing w:after="40"/>
        <w:ind w:left="432" w:hanging="317"/>
      </w:pPr>
      <w:r>
        <w:t xml:space="preserve">14.  </w:t>
      </w:r>
      <w:r>
        <w:t>What buyer specification and test method applies at each hand-off, and who owns the final acceptance decision?</w:t>
      </w:r>
    </w:p>
    <w:p>
      <w:pPr>
        <w:spacing w:after="40"/>
        <w:ind w:left="432" w:hanging="317"/>
      </w:pPr>
      <w:r>
        <w:t xml:space="preserve">15.  </w:t>
      </w:r>
      <w:r>
        <w:t>How does the household team work with the kabadiwala who buys and pays? The kabadiwala is the material buyer and payer; staff, pickup, receipt and stock-custody responsibilities still need definition.</w:t>
      </w:r>
    </w:p>
    <w:p>
      <w:pPr>
        <w:spacing w:after="40"/>
        <w:ind w:left="432" w:hanging="317"/>
      </w:pPr>
      <w:r>
        <w:t xml:space="preserve">16.  </w:t>
      </w:r>
      <w:r>
        <w:t>During file review, should every accepted image format have GPS metadata removed before storage? The founder deferred this choice to that review.</w:t>
      </w:r>
    </w:p>
    <w:p>
      <w:pPr>
        <w:pStyle w:val="Heading1"/>
      </w:pPr>
      <w:r>
        <w:t>Interview entry 4 October 2026 PET circular plastics example</w:t>
      </w:r>
    </w:p>
    <w:p>
      <w:r>
        <w:t>This example is a working business-flow model for discussion. It is not a verified quality standard, legal opinion or approved implementation design.</w:t>
      </w:r>
    </w:p>
    <w:p>
      <w:pPr>
        <w:pStyle w:val="Heading2"/>
      </w:pPr>
      <w:r>
        <w:t>Example physical flow</w:t>
      </w:r>
    </w:p>
    <w:p>
      <w:pPr>
        <w:pStyle w:val="LumaCode"/>
      </w:pPr>
      <w:r>
        <w:t>Household</w:t>
      </w:r>
    </w:p>
    <w:p>
      <w:pPr>
        <w:pStyle w:val="LumaCode"/>
      </w:pPr>
      <w:r>
        <w:t xml:space="preserve">  → sells segregated or mixed dry scrap</w:t>
      </w:r>
    </w:p>
    <w:p>
      <w:pPr>
        <w:pStyle w:val="LumaCode"/>
      </w:pPr>
      <w:r>
        <w:t>Kabadiwala</w:t>
      </w:r>
    </w:p>
    <w:p>
      <w:pPr>
        <w:pStyle w:val="LumaCode"/>
      </w:pPr>
      <w:r>
        <w:t xml:space="preserve">  → weighs, pays, records source and material; sorts and bales PET bottles</w:t>
      </w:r>
    </w:p>
    <w:p>
      <w:pPr>
        <w:pStyle w:val="LumaCode"/>
      </w:pPr>
      <w:r>
        <w:t>Preprocessor / material recovery facility</w:t>
      </w:r>
    </w:p>
    <w:p>
      <w:pPr>
        <w:pStyle w:val="LumaCode"/>
      </w:pPr>
      <w:r>
        <w:t xml:space="preserve">  → receives and inspects bales; removes contaminants; makes and washes flakes</w:t>
      </w:r>
    </w:p>
    <w:p>
      <w:pPr>
        <w:pStyle w:val="LumaCode"/>
      </w:pPr>
      <w:r>
        <w:t>Recycler</w:t>
      </w:r>
    </w:p>
    <w:p>
      <w:pPr>
        <w:pStyle w:val="LumaCode"/>
      </w:pPr>
      <w:r>
        <w:t xml:space="preserve">  → buys accepted flakes; makes rPET fibre, pellets, sheet, strapping or resin</w:t>
      </w:r>
    </w:p>
    <w:p>
      <w:pPr>
        <w:pStyle w:val="LumaCode"/>
      </w:pPr>
      <w:r>
        <w:t>Fibre manufacturer</w:t>
      </w:r>
    </w:p>
    <w:p>
      <w:pPr>
        <w:pStyle w:val="LumaCode"/>
      </w:pPr>
      <w:r>
        <w:t xml:space="preserve">  → makes polyester staple fibre (PSF)</w:t>
      </w:r>
    </w:p>
    <w:p>
      <w:pPr>
        <w:pStyle w:val="LumaCode"/>
      </w:pPr>
      <w:r>
        <w:t>Textile manufacturer</w:t>
      </w:r>
    </w:p>
    <w:p>
      <w:pPr>
        <w:pStyle w:val="LumaCode"/>
      </w:pPr>
      <w:r>
        <w:t xml:space="preserve">  → makes yarn and fabric</w:t>
      </w:r>
    </w:p>
    <w:p>
      <w:pPr>
        <w:pStyle w:val="LumaCode"/>
      </w:pPr>
      <w:r>
        <w:t>Garment manufacturer</w:t>
      </w:r>
    </w:p>
    <w:p>
      <w:pPr>
        <w:pStyle w:val="LumaCode"/>
      </w:pPr>
      <w:r>
        <w:t xml:space="preserve">  → makes garments or other products</w:t>
      </w:r>
    </w:p>
    <w:p>
      <w:r>
        <w:t>PET bottle bodies, caps and neck rings, labels, and rejects may follow separate material paths. The example proposes that PET flakes sink while PP/HDPE fractions float during sink-float separation. Processors must record the actual outputs and losses for each batch; the flow does not assume every bottle or label has the same composition.</w:t>
      </w:r>
    </w:p>
    <w:p>
      <w:pPr>
        <w:pStyle w:val="Heading2"/>
      </w:pPr>
      <w:r>
        <w:t>Example material states</w:t>
      </w:r>
    </w:p>
    <w:p>
      <w:pPr>
        <w:pStyle w:val="LumaCode"/>
      </w:pPr>
      <w:r>
        <w:t>PET bottle: mixed → sorted → bale → post-debale → raw flake</w:t>
      </w:r>
    </w:p>
    <w:p>
      <w:pPr>
        <w:pStyle w:val="LumaCode"/>
      </w:pPr>
      <w:r>
        <w:t xml:space="preserve">  → cold-washed flake or hot-washed flake → rPET-PSF → yarn → fabric → garment</w:t>
      </w:r>
    </w:p>
    <w:p>
      <w:pPr>
        <w:pStyle w:val="LumaCode"/>
      </w:pPr>
      <w:r>
        <w:t>PP cap: mixed → float fraction → ground/recycled PP</w:t>
      </w:r>
    </w:p>
    <w:p>
      <w:pPr>
        <w:pStyle w:val="LumaCode"/>
      </w:pPr>
      <w:r>
        <w:t>HDPE cap: mixed → float fraction → ground/recycled HDPE</w:t>
      </w:r>
    </w:p>
    <w:p>
      <w:pPr>
        <w:pStyle w:val="LumaCode"/>
      </w:pPr>
      <w:r>
        <w:t>Reject or contamination → documented recovery, disposal or process loss</w:t>
      </w:r>
    </w:p>
    <w:p>
      <w:r>
        <w:t>These are proposed labels, not a final catalogue. Each batch transformation should reconcile integer grams:</w:t>
      </w:r>
    </w:p>
    <w:p>
      <w:pPr>
        <w:pStyle w:val="LumaCode"/>
      </w:pPr>
      <w:r>
        <w:t>input grams - contamination grams - process-loss grams = accepted output grams</w:t>
      </w:r>
    </w:p>
    <w:p>
      <w:r>
        <w:t>Record yield and byproducts as explicit outputs when they are measured. Do not silently force measured quantities to balance.</w:t>
      </w:r>
    </w:p>
    <w:p>
      <w:pPr>
        <w:pStyle w:val="Heading2"/>
      </w:pPr>
      <w:r>
        <w:t>Handoff by handoff flow</w:t>
      </w:r>
    </w:p>
    <w:p>
      <w:r>
        <w:t xml:space="preserve">The founder asked to define </w:t>
      </w:r>
      <w:r>
        <w:rPr>
          <w:b/>
        </w:rPr>
        <w:t>all</w:t>
      </w:r>
      <w:r>
        <w:t xml:space="preserve"> hand-offs in the PET chain. The table records the current example and the evidence each step may need. It does not approve a contract, quality limit, legal role or payment rule.</w:t>
      </w:r>
    </w:p>
    <w:p>
      <w:pPr>
        <w:pStyle w:val="Heading3"/>
        <w:keepNext/>
      </w:pPr>
      <w:r>
        <w:t>Household to kabadiwala</w:t>
      </w:r>
    </w:p>
    <w:p>
      <w:pPr>
        <w:keepNext/>
        <w:ind w:left="187"/>
      </w:pPr>
      <w:r>
        <w:rPr>
          <w:b/>
        </w:rPr>
        <w:t xml:space="preserve">Material movement: </w:t>
      </w:r>
      <w:r>
        <w:t>Segregated or mixed dry household scrap is weighed and accepted</w:t>
      </w:r>
    </w:p>
    <w:p>
      <w:pPr>
        <w:keepNext/>
        <w:ind w:left="187"/>
      </w:pPr>
      <w:r>
        <w:rPr>
          <w:b/>
        </w:rPr>
        <w:t xml:space="preserve">Record to consider: </w:t>
      </w:r>
      <w:r>
        <w:t>Booking/source, photos if used, material estimate, actual integer grams, price and paise paid, time and receipt</w:t>
      </w:r>
    </w:p>
    <w:p>
      <w:pPr>
        <w:keepNext w:val="0"/>
        <w:ind w:left="187"/>
      </w:pPr>
      <w:r>
        <w:rPr>
          <w:b/>
        </w:rPr>
        <w:t xml:space="preserve">Still to decide: </w:t>
      </w:r>
      <w:r>
        <w:t>Kabadiwala buys and pays; define who collects, sets the rate, issues the receipt and records custody.</w:t>
      </w:r>
    </w:p>
    <w:p>
      <w:pPr>
        <w:pStyle w:val="Heading3"/>
        <w:keepNext/>
      </w:pPr>
      <w:r>
        <w:t>Kabadiwala sorting</w:t>
      </w:r>
    </w:p>
    <w:p>
      <w:pPr>
        <w:keepNext/>
        <w:ind w:left="187"/>
      </w:pPr>
      <w:r>
        <w:rPr>
          <w:b/>
        </w:rPr>
        <w:t xml:space="preserve">Material movement: </w:t>
      </w:r>
      <w:r>
        <w:t>Mixed intake becomes sorted stock, PET lots, bales and recorded rejects</w:t>
      </w:r>
    </w:p>
    <w:p>
      <w:pPr>
        <w:keepNext/>
        <w:ind w:left="187"/>
      </w:pPr>
      <w:r>
        <w:rPr>
          <w:b/>
        </w:rPr>
        <w:t xml:space="preserve">Record to consider: </w:t>
      </w:r>
      <w:r>
        <w:t>Input/output grams by material, moisture or contamination when measured, process loss and stock location</w:t>
      </w:r>
    </w:p>
    <w:p>
      <w:pPr>
        <w:keepNext w:val="0"/>
        <w:ind w:left="187"/>
      </w:pPr>
      <w:r>
        <w:rPr>
          <w:b/>
        </w:rPr>
        <w:t xml:space="preserve">Still to decide: </w:t>
      </w:r>
      <w:r>
        <w:t>Whether sorting is one event or several; grade names and who verifies the record</w:t>
      </w:r>
    </w:p>
    <w:p>
      <w:pPr>
        <w:pStyle w:val="Heading3"/>
        <w:keepNext/>
      </w:pPr>
      <w:r>
        <w:t>Kabadiwala to preprocessor</w:t>
      </w:r>
    </w:p>
    <w:p>
      <w:pPr>
        <w:keepNext/>
        <w:ind w:left="187"/>
      </w:pPr>
      <w:r>
        <w:rPr>
          <w:b/>
        </w:rPr>
        <w:t xml:space="preserve">Material movement: </w:t>
      </w:r>
      <w:r>
        <w:t>PET bottles or bales are offered, transported, received and weighed</w:t>
      </w:r>
    </w:p>
    <w:p>
      <w:pPr>
        <w:keepNext/>
        <w:ind w:left="187"/>
      </w:pPr>
      <w:r>
        <w:rPr>
          <w:b/>
        </w:rPr>
        <w:t xml:space="preserve">Record to consider: </w:t>
      </w:r>
      <w:r>
        <w:t>Offer/accepted terms, source lot, dispatch and transport proof, received grams, inspection, acceptance/rejection, receipt and any invoice reference</w:t>
      </w:r>
    </w:p>
    <w:p>
      <w:pPr>
        <w:keepNext w:val="0"/>
        <w:ind w:left="187"/>
      </w:pPr>
      <w:r>
        <w:rPr>
          <w:b/>
        </w:rPr>
        <w:t xml:space="preserve">Still to decide: </w:t>
      </w:r>
      <w:r>
        <w:t>Who starts the offer, who transports, weighing method, quality disagreement, price and settlement</w:t>
      </w:r>
    </w:p>
    <w:p>
      <w:pPr>
        <w:pStyle w:val="Heading3"/>
        <w:keepNext/>
      </w:pPr>
      <w:r>
        <w:t>Preprocessor processing</w:t>
      </w:r>
    </w:p>
    <w:p>
      <w:pPr>
        <w:keepNext/>
        <w:ind w:left="187"/>
      </w:pPr>
      <w:r>
        <w:rPr>
          <w:b/>
        </w:rPr>
        <w:t xml:space="preserve">Material movement: </w:t>
      </w:r>
      <w:r>
        <w:t>Received bales become separated cap/ring fractions, PET flakes, labels and rejects</w:t>
      </w:r>
    </w:p>
    <w:p>
      <w:pPr>
        <w:keepNext/>
        <w:ind w:left="187"/>
      </w:pPr>
      <w:r>
        <w:rPr>
          <w:b/>
        </w:rPr>
        <w:t xml:space="preserve">Record to consider: </w:t>
      </w:r>
      <w:r>
        <w:t>Input/output grams, process loss, contamination, separation and wash process, flake grade, inspection evidence</w:t>
      </w:r>
    </w:p>
    <w:p>
      <w:pPr>
        <w:keepNext w:val="0"/>
        <w:ind w:left="187"/>
      </w:pPr>
      <w:r>
        <w:rPr>
          <w:b/>
        </w:rPr>
        <w:t xml:space="preserve">Still to decide: </w:t>
      </w:r>
      <w:r>
        <w:t>Process recipe, cold/hot wash definitions, test methods, yield tolerances and approved reject destinations</w:t>
      </w:r>
    </w:p>
    <w:p>
      <w:pPr>
        <w:pStyle w:val="Heading3"/>
        <w:keepNext/>
      </w:pPr>
      <w:r>
        <w:t>Preprocessor to recycler</w:t>
      </w:r>
    </w:p>
    <w:p>
      <w:pPr>
        <w:keepNext/>
        <w:ind w:left="187"/>
      </w:pPr>
      <w:r>
        <w:rPr>
          <w:b/>
        </w:rPr>
        <w:t xml:space="preserve">Material movement: </w:t>
      </w:r>
      <w:r>
        <w:t>Raw, cold-washed or hot-washed flakes are sold and received</w:t>
      </w:r>
    </w:p>
    <w:p>
      <w:pPr>
        <w:keepNext/>
        <w:ind w:left="187"/>
      </w:pPr>
      <w:r>
        <w:rPr>
          <w:b/>
        </w:rPr>
        <w:t xml:space="preserve">Record to consider: </w:t>
      </w:r>
      <w:r>
        <w:t>Buyer specification, batch and sample, lab/inspection result, dispatch proof, received and accepted grams, purchase order, invoice and payment status</w:t>
      </w:r>
    </w:p>
    <w:p>
      <w:pPr>
        <w:keepNext w:val="0"/>
        <w:ind w:left="187"/>
      </w:pPr>
      <w:r>
        <w:rPr>
          <w:b/>
        </w:rPr>
        <w:t xml:space="preserve">Still to decide: </w:t>
      </w:r>
      <w:r>
        <w:t>First grades, numeric limits, sampling, rejection/price adjustment, title transfer and who pays transport</w:t>
      </w:r>
    </w:p>
    <w:p>
      <w:pPr>
        <w:pStyle w:val="Heading3"/>
        <w:keepNext/>
      </w:pPr>
      <w:r>
        <w:t>Recycler processing</w:t>
      </w:r>
    </w:p>
    <w:p>
      <w:pPr>
        <w:keepNext/>
        <w:ind w:left="187"/>
      </w:pPr>
      <w:r>
        <w:rPr>
          <w:b/>
        </w:rPr>
        <w:t xml:space="preserve">Material movement: </w:t>
      </w:r>
      <w:r>
        <w:t>Accepted flakes become one or more recycled outputs, such as rPET fibre, pellets, sheet or strapping</w:t>
      </w:r>
    </w:p>
    <w:p>
      <w:pPr>
        <w:keepNext/>
        <w:ind w:left="187"/>
      </w:pPr>
      <w:r>
        <w:rPr>
          <w:b/>
        </w:rPr>
        <w:t xml:space="preserve">Record to consider: </w:t>
      </w:r>
      <w:r>
        <w:t>Input/output grams by product and byproduct, process loss, output grade, batch lineage and test evidence</w:t>
      </w:r>
    </w:p>
    <w:p>
      <w:pPr>
        <w:keepNext w:val="0"/>
        <w:ind w:left="187"/>
      </w:pPr>
      <w:r>
        <w:rPr>
          <w:b/>
        </w:rPr>
        <w:t xml:space="preserve">Still to decide: </w:t>
      </w:r>
      <w:r>
        <w:t>Which conversion products are in scope first; process yields, grade specifications and facility evidence</w:t>
      </w:r>
    </w:p>
    <w:p>
      <w:pPr>
        <w:pStyle w:val="Heading3"/>
        <w:keepNext/>
      </w:pPr>
      <w:r>
        <w:t>Recycler to fibre manufacturer</w:t>
      </w:r>
    </w:p>
    <w:p>
      <w:pPr>
        <w:keepNext/>
        <w:ind w:left="187"/>
      </w:pPr>
      <w:r>
        <w:rPr>
          <w:b/>
        </w:rPr>
        <w:t xml:space="preserve">Material movement: </w:t>
      </w:r>
      <w:r>
        <w:t>Suitable rPET feedstock is purchased for polyester staple fibre (PSF) production</w:t>
      </w:r>
    </w:p>
    <w:p>
      <w:pPr>
        <w:keepNext/>
        <w:ind w:left="187"/>
      </w:pPr>
      <w:r>
        <w:rPr>
          <w:b/>
        </w:rPr>
        <w:t xml:space="preserve">Record to consider: </w:t>
      </w:r>
      <w:r>
        <w:t>Contract/order, material and grade, source batch, dispatch/receipt, accepted quantity, quality result, invoice match and payment status</w:t>
      </w:r>
    </w:p>
    <w:p>
      <w:pPr>
        <w:keepNext w:val="0"/>
        <w:ind w:left="187"/>
      </w:pPr>
      <w:r>
        <w:rPr>
          <w:b/>
        </w:rPr>
        <w:t xml:space="preserve">Still to decide: </w:t>
      </w:r>
      <w:r>
        <w:t>Whether recycler sells flakes, pellets, fibre or PSF in the first flow; exact acceptance limits and party responsibilities</w:t>
      </w:r>
    </w:p>
    <w:p>
      <w:pPr>
        <w:pStyle w:val="Heading3"/>
        <w:keepNext/>
      </w:pPr>
      <w:r>
        <w:t>Fibre manufacturer to textile manufacturer</w:t>
      </w:r>
    </w:p>
    <w:p>
      <w:pPr>
        <w:keepNext/>
        <w:ind w:left="187"/>
      </w:pPr>
      <w:r>
        <w:rPr>
          <w:b/>
        </w:rPr>
        <w:t xml:space="preserve">Material movement: </w:t>
      </w:r>
      <w:r>
        <w:t>PSF becomes yarn and/or fabric through spinning and textile production</w:t>
      </w:r>
    </w:p>
    <w:p>
      <w:pPr>
        <w:keepNext/>
        <w:ind w:left="187"/>
      </w:pPr>
      <w:r>
        <w:rPr>
          <w:b/>
        </w:rPr>
        <w:t xml:space="preserve">Record to consider: </w:t>
      </w:r>
      <w:r>
        <w:t>Input/output batch links, mass balance, product grade, order/receipt and quality acceptance</w:t>
      </w:r>
    </w:p>
    <w:p>
      <w:pPr>
        <w:keepNext w:val="0"/>
        <w:ind w:left="187"/>
      </w:pPr>
      <w:r>
        <w:rPr>
          <w:b/>
        </w:rPr>
        <w:t xml:space="preserve">Still to decide: </w:t>
      </w:r>
      <w:r>
        <w:t>Which products Luma tracks, what counts as a commercial hand-off, and who owns each procurement/payment step</w:t>
      </w:r>
    </w:p>
    <w:p>
      <w:pPr>
        <w:pStyle w:val="Heading3"/>
        <w:keepNext/>
      </w:pPr>
      <w:r>
        <w:t>Textile manufacturer to garment manufacturer</w:t>
      </w:r>
    </w:p>
    <w:p>
      <w:pPr>
        <w:keepNext/>
        <w:ind w:left="187"/>
      </w:pPr>
      <w:r>
        <w:rPr>
          <w:b/>
        </w:rPr>
        <w:t xml:space="preserve">Material movement: </w:t>
      </w:r>
      <w:r>
        <w:t>Yarn or fabric becomes garment inputs or finished products</w:t>
      </w:r>
    </w:p>
    <w:p>
      <w:pPr>
        <w:keepNext/>
        <w:ind w:left="187"/>
      </w:pPr>
      <w:r>
        <w:rPr>
          <w:b/>
        </w:rPr>
        <w:t xml:space="preserve">Record to consider: </w:t>
      </w:r>
      <w:r>
        <w:t>Batch lineage, quantity/unit, specification, inspection and commercial receipt if traded on Luma</w:t>
      </w:r>
    </w:p>
    <w:p>
      <w:pPr>
        <w:keepNext w:val="0"/>
        <w:ind w:left="187"/>
      </w:pPr>
      <w:r>
        <w:rPr>
          <w:b/>
        </w:rPr>
        <w:t xml:space="preserve">Still to decide: </w:t>
      </w:r>
      <w:r>
        <w:t>Whether this downstream sale is in platform scope or is traceability-only</w:t>
      </w:r>
    </w:p>
    <w:p>
      <w:pPr>
        <w:pStyle w:val="Heading3"/>
        <w:keepNext/>
      </w:pPr>
      <w:r>
        <w:t>Non household generator to approved buyer</w:t>
      </w:r>
    </w:p>
    <w:p>
      <w:pPr>
        <w:keepNext/>
        <w:ind w:left="187"/>
      </w:pPr>
      <w:r>
        <w:rPr>
          <w:b/>
        </w:rPr>
        <w:t xml:space="preserve">Material movement: </w:t>
      </w:r>
      <w:r>
        <w:t>Apartment communities, offices, hotels, resorts or manufacturers may offer generated material or byproducts</w:t>
      </w:r>
    </w:p>
    <w:p>
      <w:pPr>
        <w:keepNext/>
        <w:ind w:left="187"/>
      </w:pPr>
      <w:r>
        <w:rPr>
          <w:b/>
        </w:rPr>
        <w:t xml:space="preserve">Record to consider: </w:t>
      </w:r>
      <w:r>
        <w:t>Generator/site, material declaration, measured quantity, source evidence, receiving inspection and custody record</w:t>
      </w:r>
    </w:p>
    <w:p>
      <w:pPr>
        <w:keepNext w:val="0"/>
        <w:ind w:left="187"/>
      </w:pPr>
      <w:r>
        <w:rPr>
          <w:b/>
        </w:rPr>
        <w:t xml:space="preserve">Still to decide: </w:t>
      </w:r>
      <w:r>
        <w:t>Any approved buyer handling that material may respond; define material permissions, collection, commercial and payment roles.</w:t>
      </w:r>
    </w:p>
    <w:p>
      <w:pPr>
        <w:pStyle w:val="Heading3"/>
        <w:keepNext/>
      </w:pPr>
      <w:r>
        <w:t>Side streams and rejects</w:t>
      </w:r>
    </w:p>
    <w:p>
      <w:pPr>
        <w:keepNext/>
        <w:ind w:left="187"/>
      </w:pPr>
      <w:r>
        <w:rPr>
          <w:b/>
        </w:rPr>
        <w:t xml:space="preserve">Material movement: </w:t>
      </w:r>
      <w:r>
        <w:t>PP/HDPE caps and rings, labels, contamination and process rejects move to recovery, sale or disposal</w:t>
      </w:r>
    </w:p>
    <w:p>
      <w:pPr>
        <w:keepNext/>
        <w:ind w:left="187"/>
      </w:pPr>
      <w:r>
        <w:rPr>
          <w:b/>
        </w:rPr>
        <w:t xml:space="preserve">Record to consider: </w:t>
      </w:r>
      <w:r>
        <w:t>Separate material lots, measured grams, receiver, destination and recovery/disposal evidence</w:t>
      </w:r>
    </w:p>
    <w:p>
      <w:pPr>
        <w:keepNext w:val="0"/>
        <w:ind w:left="187"/>
      </w:pPr>
      <w:r>
        <w:rPr>
          <w:b/>
        </w:rPr>
        <w:t xml:space="preserve">Still to decide: </w:t>
      </w:r>
      <w:r>
        <w:t>Which fractions are saleable, approved destinations, applicable quality/legal rules and who records final receipt</w:t>
      </w:r>
    </w:p>
    <w:p>
      <w:r>
        <w:t>Each physical hand-off should use one shared receipt pattern: identify both parties and the batch; record dispatch and receipt weights; record an inspection and acceptance decision; link the commercial documents; and keep corrections as new audited records. The exact fields may differ by material and stage. Do not assume a physical transformation is a sale, or that every downstream step runs through Luma.</w:t>
      </w:r>
    </w:p>
    <w:p>
      <w:pPr>
        <w:pStyle w:val="Heading2"/>
      </w:pPr>
      <w:r>
        <w:t>Quality and custody gates</w:t>
      </w:r>
    </w:p>
    <w:p>
      <w:r>
        <w:t>At each hand-off, record the sending and receiving parties, batch, measured weight, material grade, inspection, decision, time and supporting evidence. The example proposes photos and actual weight at household pickup; bale grade and foreign-material share at yard receipt; and purity, colour, moisture, contamination and wash-process details for flakes. The buyer's written specification determines acceptance. “Hot-washed” alone does not prove a grade.</w:t>
      </w:r>
    </w:p>
    <w:p>
      <w:r>
        <w:t>Keep accepted inspection results immutable. A correction should create a new inspection with the reason, actor, approver and audit record. The exact test methods, tolerance values, sample rules and evidence retention remain open.</w:t>
      </w:r>
    </w:p>
    <w:p>
      <w:pPr>
        <w:pStyle w:val="Heading2"/>
      </w:pPr>
      <w:r>
        <w:t>Commercial flows and price objects</w:t>
      </w:r>
    </w:p>
    <w:p>
      <w:r>
        <w:rPr>
          <w:b/>
        </w:rPr>
        <w:t>S2P supplier sourcing (example):</w:t>
      </w:r>
      <w:r>
        <w:t xml:space="preserve"> demand plan → source suppliers → request quotations → compare quality, price, capacity, distance and compliance → approve supplier and contract → purchase order → receipt and inspection → invoice match and payment.</w:t>
      </w:r>
    </w:p>
    <w:p>
      <w:r>
        <w:rPr>
          <w:b/>
        </w:rPr>
        <w:t>P2P procurement execution (example):</w:t>
      </w:r>
      <w:r>
        <w:t xml:space="preserve"> purchase request → purchase order → dispatch and transport proof → goods receipt → quality acceptance or rejection → supplier invoice → match order, received quantity and accepted invoice → payment approval → payment status. The example proposes this for preprocessor-to-recycler and recycler-to-manufacturer purchases.</w:t>
      </w:r>
    </w:p>
    <w:p>
      <w:r>
        <w:t>Keep these values separate:</w:t>
      </w:r>
    </w:p>
    <w:p>
      <w:pPr>
        <w:spacing w:after="40"/>
        <w:ind w:left="432" w:hanging="317"/>
      </w:pPr>
      <w:r>
        <w:t xml:space="preserve">1.  </w:t>
      </w:r>
      <w:r>
        <w:rPr>
          <w:b/>
        </w:rPr>
        <w:t>Material price:</w:t>
      </w:r>
      <w:r>
        <w:t xml:space="preserve"> a dated amount in integer paise per kg, adjusted by material, grade, location, quantity and accepted quality.</w:t>
      </w:r>
    </w:p>
    <w:p>
      <w:pPr>
        <w:spacing w:after="40"/>
        <w:ind w:left="432" w:hanging="317"/>
      </w:pPr>
      <w:r>
        <w:t xml:space="preserve">2.  </w:t>
      </w:r>
      <w:r>
        <w:rPr>
          <w:b/>
        </w:rPr>
        <w:t>SaaS service price:</w:t>
      </w:r>
      <w:r>
        <w:t xml:space="preserve"> subscription, seats, sites, API or optional modules.</w:t>
      </w:r>
    </w:p>
    <w:p>
      <w:pPr>
        <w:spacing w:after="40"/>
        <w:ind w:left="432" w:hanging="317"/>
      </w:pPr>
      <w:r>
        <w:t xml:space="preserve">3.  </w:t>
      </w:r>
      <w:r>
        <w:rPr>
          <w:b/>
        </w:rPr>
        <w:t>Transaction service fee:</w:t>
      </w:r>
      <w:r>
        <w:t xml:space="preserve"> optional disclosed fixed fee or basis-point fee.</w:t>
      </w:r>
    </w:p>
    <w:p>
      <w:r>
        <w:t>Do not infer that Luma buys, owns, resells or holds the material or payment. Confirm the legal and commercial role for each transaction before implementation.</w:t>
      </w:r>
    </w:p>
    <w:p>
      <w:pPr>
        <w:pStyle w:val="Heading2"/>
      </w:pPr>
      <w:r>
        <w:t>Compliance boundary and evidence</w:t>
      </w:r>
    </w:p>
    <w:p>
      <w:r>
        <w:t xml:space="preserve">The product may record organisation and facility identity, relevant GST and pollution-control evidence, batch and custody records, invoices, transport references and portal-issued certificate references. Registration duties and eligibility depend on the party, activity, facility and current rules. A kabadiwala is not a Plastic Waste Processor just because it collects or trades plastic. Only an eligible, registered processor can issue the applicable processing certificate through the authorized CPCB process; Luma must not mint or describe a platform record as an EPR certificate. The current </w:t>
      </w:r>
      <w:hyperlink r:id="rId9">
        <w:r>
          <w:rPr>
            <w:color w:val="175C73"/>
            <w:u w:val="single"/>
          </w:rPr>
          <w:t>CPCB Common EPR Portal</w:t>
        </w:r>
      </w:hyperlink>
      <w:r>
        <w:t xml:space="preserve"> is the official portal entry point. The </w:t>
      </w:r>
      <w:hyperlink r:id="rId10">
        <w:r>
          <w:rPr>
            <w:color w:val="175C73"/>
            <w:u w:val="single"/>
          </w:rPr>
          <w:t>CPCB PWP registration SOP</w:t>
        </w:r>
      </w:hyperlink>
      <w:r>
        <w:t xml:space="preserve"> is a reference for feasibility review; confirm that its process and linked portal remain current before relying on operational details.</w:t>
      </w:r>
    </w:p>
    <w:p>
      <w:r>
        <w:t xml:space="preserve">CBIC Rule 138 gives a general e-way-bill rule for registered persons who cause movement of consignments above ₹50,000, with exceptions and role-specific steps. The product may prepare information and store the resulting reference; the legally responsible registered person or transporter must generate or authorize the document as applicable. Validate each workflow with a GST professional and the current rules before enabling compliance claims. See </w:t>
      </w:r>
      <w:hyperlink r:id="rId11">
        <w:r>
          <w:rPr>
            <w:color w:val="175C73"/>
            <w:u w:val="single"/>
          </w:rPr>
          <w:t>CBIC Rule 138</w:t>
        </w:r>
      </w:hyperlink>
      <w:r>
        <w:t>.</w:t>
      </w:r>
    </w:p>
    <w:p>
      <w:pPr>
        <w:pStyle w:val="Heading2"/>
      </w:pPr>
      <w:r>
        <w:t>Candidate first use cases</w:t>
      </w:r>
    </w:p>
    <w:p>
      <w:pPr>
        <w:spacing w:after="40"/>
        <w:ind w:left="432" w:hanging="317"/>
      </w:pPr>
      <w:r>
        <w:t xml:space="preserve">1.  </w:t>
      </w:r>
      <w:r>
        <w:t>Household PET pickup; the kabadiwala buys and pays the household directly. Define who performs pickup, issues the receipt and records stock custody.</w:t>
      </w:r>
    </w:p>
    <w:p>
      <w:pPr>
        <w:spacing w:after="40"/>
        <w:ind w:left="432" w:hanging="317"/>
      </w:pPr>
      <w:r>
        <w:t xml:space="preserve">2.  </w:t>
      </w:r>
      <w:r>
        <w:t>Kabadiwala-to-preprocessor bale offer, receipt, weighing and quality decision.</w:t>
      </w:r>
    </w:p>
    <w:p>
      <w:pPr>
        <w:spacing w:after="40"/>
        <w:ind w:left="432" w:hanging="317"/>
      </w:pPr>
      <w:r>
        <w:t xml:space="preserve">3.  </w:t>
      </w:r>
      <w:r>
        <w:t>Preprocessor-to-recycler flake purchase with buyer specification and receipt.</w:t>
      </w:r>
    </w:p>
    <w:p>
      <w:pPr>
        <w:spacing w:after="40"/>
        <w:ind w:left="432" w:hanging="317"/>
      </w:pPr>
      <w:r>
        <w:t xml:space="preserve">4.  </w:t>
      </w:r>
      <w:r>
        <w:t>Recycler-to-fibre manufacturer PSF contract, batch receipt and invoice match.</w:t>
      </w:r>
    </w:p>
    <w:p>
      <w:pPr>
        <w:spacing w:after="40"/>
        <w:ind w:left="432" w:hanging="317"/>
      </w:pPr>
      <w:r>
        <w:t xml:space="preserve">5.  </w:t>
      </w:r>
      <w:r>
        <w:t>Compliance evidence workspace for eligible parties, with external portal certificate references.</w:t>
      </w:r>
    </w:p>
    <w:p>
      <w:r>
        <w:t>These use cases need confirmation after the S2P/P2P segment boundary is clear.</w:t>
      </w:r>
    </w:p>
    <w:p>
      <w:pPr>
        <w:pStyle w:val="Heading1"/>
      </w:pPr>
      <w:r>
        <w:t>Interview entry 6 October 2026 teammate PET workbook review</w:t>
      </w:r>
    </w:p>
    <w:p>
      <w:r>
        <w:rPr>
          <w:b/>
        </w:rPr>
        <w:t>Source and authority.</w:t>
      </w:r>
      <w:r>
        <w:t xml:space="preserve"> The team supplied </w:t>
      </w:r>
      <w:r>
        <w:rPr>
          <w:rFonts w:ascii="Liberation Mono" w:hAnsi="Liberation Mono"/>
          <w:sz w:val="17"/>
        </w:rPr>
        <w:t>Luma_Green_PET_bottle_to_shirt_workbook.xlsx</w:t>
      </w:r>
      <w:r>
        <w:t xml:space="preserve"> as a broad outline, not as an approved specification. I read all ten sheets: README, Framework, Value Chain, QC Specs, Pricing, Scenario, Compliance, Use Cases, Calculators and Sources. Workbook directions such as “edit the yellow cells,” its rollout order, and its suggested prices are instructions and proposals </w:t>
      </w:r>
      <w:r>
        <w:rPr>
          <w:i/>
        </w:rPr>
        <w:t>inside source material</w:t>
      </w:r>
      <w:r>
        <w:t>; they do not override the founder's instructions. No workbook cell authorizes a code, schema, data, payment or compliance change. Keep this interview and its Word copy as the one current requirements record; retain the workbook as reference.</w:t>
      </w:r>
    </w:p>
    <w:p>
      <w:pPr>
        <w:pStyle w:val="Heading2"/>
      </w:pPr>
      <w:r>
        <w:t>What the workbook adds to the candidate platform outline</w:t>
      </w:r>
    </w:p>
    <w:p>
      <w:pPr>
        <w:pStyle w:val="ListBullet"/>
      </w:pPr>
      <w:r>
        <w:rPr>
          <w:b/>
        </w:rPr>
        <w:t>Collection and labour:</w:t>
      </w:r>
      <w:r>
        <w:t xml:space="preserve"> a multilingual household booking or WhatsApp request, visible grade rate and slot, collector identity, calibrated weight, photo where useful, payment proof, receipt and source batch. A proposed Saathi day close compares collected and handed-over grams and records the variance. WhatsApp, instant UPI payment, insurance, welfare-board identifiers and automated payouts need provider, legal and operating checks.</w:t>
      </w:r>
    </w:p>
    <w:p>
      <w:pPr>
        <w:pStyle w:val="ListBullet"/>
      </w:pPr>
      <w:r>
        <w:rPr>
          <w:b/>
        </w:rPr>
        <w:t>More source organisations:</w:t>
      </w:r>
      <w:r>
        <w:t xml:space="preserve"> dry-waste centres and waste-picker cooperatives may collect or consolidate material. Apartment communities, offices, hotels and similar sites need a site-level waste log and vendor evidence when applicable. They remain </w:t>
      </w:r>
      <w:r>
        <w:rPr>
          <w:b/>
        </w:rPr>
        <w:t>non-household material generators</w:t>
      </w:r>
      <w:r>
        <w:t>. Manufacturing byproducts use this source role too, but their waste category and permits must be checked separately from municipal solid waste.</w:t>
      </w:r>
    </w:p>
    <w:p>
      <w:pPr>
        <w:pStyle w:val="ListBullet"/>
      </w:pPr>
      <w:r>
        <w:rPr>
          <w:b/>
        </w:rPr>
        <w:t>Physical and digital chain:</w:t>
      </w:r>
      <w:r>
        <w:t xml:space="preserve"> source batch → sorted lot → bale → washed flake and separated PP/HDPE/reject lots → recycled fibre or another rPET output → yarn → fabric → garment order. At each hand-off, link the sending and receiving organisations, site, measured grams, quality decision, custody evidence, order and settlement reference when there is a trade. Preprocessing and fibre making may be done by the same organisation or by different ones; do not turn each physical step into a required sale.</w:t>
      </w:r>
    </w:p>
    <w:p>
      <w:pPr>
        <w:pStyle w:val="ListBullet"/>
      </w:pPr>
      <w:r>
        <w:rPr>
          <w:b/>
        </w:rPr>
        <w:t>B2B procurement:</w:t>
      </w:r>
      <w:r>
        <w:t xml:space="preserve"> the proposal adds buyer-specific specifications, weighbridge and goods-receipt records, quality deductions, invoice matching, payment status and disputed-quantity handling. Keep both S2P/P2P segment models open. No purchase order or GST invoice should be invented for an informal purchase where neither exists. A weighment slip, payment voucher and batch record can document such a purchase, subject to tax review.</w:t>
      </w:r>
    </w:p>
    <w:p>
      <w:pPr>
        <w:pStyle w:val="ListBullet"/>
      </w:pPr>
      <w:r>
        <w:rPr>
          <w:b/>
        </w:rPr>
        <w:t>Additional workspaces to interview:</w:t>
      </w:r>
      <w:r>
        <w:t xml:space="preserve"> beverage packaging brands with EPR duties, separate apparel brands seeking recycled-content evidence, city officials, CSR sponsors, lenders, independent auditors and waste-picker unions. The founder requested accounts for all these groups on 6 October; their permissions and onboarding evidence still need definition. The beverage brand's packaging obligation is distinct from an apparel brand's claim about a shirt.</w:t>
      </w:r>
    </w:p>
    <w:p>
      <w:pPr>
        <w:pStyle w:val="ListBullet"/>
      </w:pPr>
      <w:r>
        <w:rPr>
          <w:b/>
        </w:rPr>
        <w:t>Quality:</w:t>
      </w:r>
      <w:r>
        <w:t xml:space="preserve"> the workbook offers editable hot-washed-flake screening fields: intrinsic viscosity, moisture, PVC, polyolefins and metals. Its example thresholds and PASS/FAIL formulas are </w:t>
      </w:r>
      <w:r>
        <w:rPr>
          <w:i/>
        </w:rPr>
        <w:t>not</w:t>
      </w:r>
      <w:r>
        <w:t xml:space="preserve"> a product standard or a lab certificate. Record the buyer's specification version, sampling method, unit, result, lab/inspector, evidence and acceptance decision. Add a new inspection for a correction. Define bale gates for colour, PVC, non-PET, moisture, dirt and weight with actual buyers.</w:t>
      </w:r>
    </w:p>
    <w:p>
      <w:pPr>
        <w:pStyle w:val="ListBullet"/>
      </w:pPr>
      <w:r>
        <w:rPr>
          <w:b/>
        </w:rPr>
        <w:t>Commercial model:</w:t>
      </w:r>
      <w:r>
        <w:t xml:space="preserve"> free or paid tiers, site/plant subscriptions, optional trade fees and evidence-pack fees are hypotheses. The workbook's example monthly prices are household optional ₹49–99; kabadiwala ₹299–499; cooperative ₹1,500–3,000; preprocessor ₹2,999–9,999; recycler ₹25,000–100,000; manufacturer ₹50,000–200,000; and generator site ₹4,999–19,999. Its packaging-brand example is ₹5–25 lakh a year plus ₹100–250 per verified tonne. These are </w:t>
      </w:r>
      <w:r>
        <w:rPr>
          <w:i/>
        </w:rPr>
        <w:t>unvalidated test prices</w:t>
      </w:r>
      <w:r>
        <w:t>, not a rate card or agreed charging policy. The Scenario sheet uses placeholder customer counts and tonnage; its MRR/ARR is not a forecast.</w:t>
      </w:r>
    </w:p>
    <w:p>
      <w:pPr>
        <w:pStyle w:val="ListBullet"/>
      </w:pPr>
      <w:r>
        <w:rPr>
          <w:b/>
        </w:rPr>
        <w:t>Illustrative PET economics:</w:t>
      </w:r>
      <w:r>
        <w:t xml:space="preserve"> the workbook uses listing prices rather than firm bids, 65–73% bale-to-flake yield from non-Indian examples, assumed 10–15% later loss, 180 g fibre per shirt and 20 g per bottle. It correctly separates a simple weight conversion from a yield-adjusted bottle count. Require measured local inputs and integer-gram mass balance before any product claim. Preserve separately measured cap, label, reject and other outputs; a material claim must not count the same grams twice.</w:t>
      </w:r>
    </w:p>
    <w:p>
      <w:pPr>
        <w:pStyle w:val="ListBullet"/>
      </w:pPr>
      <w:r>
        <w:rPr>
          <w:b/>
        </w:rPr>
        <w:t>Possible rollout:</w:t>
      </w:r>
      <w:r>
        <w:t xml:space="preserve"> workbook suggests generator/preprocessor paperwork, then recycler evidence, then brand/apparel workspaces. This is a team hypothesis. Pilot order depends on interviews, verified demand and the feasibility gate; household and Saathi support cannot be assumed free to operate merely because their software price is zero.</w:t>
      </w:r>
    </w:p>
    <w:p>
      <w:pPr>
        <w:pStyle w:val="Heading2"/>
      </w:pPr>
      <w:r>
        <w:t>Conflicts and feasibility checks raised by the workbook</w:t>
      </w:r>
    </w:p>
    <w:p>
      <w:pPr>
        <w:spacing w:after="40"/>
        <w:ind w:left="432" w:hanging="317"/>
      </w:pPr>
      <w:r>
        <w:t xml:space="preserve">1.  </w:t>
      </w:r>
      <w:r>
        <w:rPr>
          <w:b/>
        </w:rPr>
        <w:t>SaaS versus material margin.</w:t>
      </w:r>
      <w:r>
        <w:t xml:space="preserve"> Framework, Pricing, Use Cases and the floor-price calculator describe Luma as funding free users from a material spread or setting a doorstep buying price after a “platform margin.” That would require a defined buyer, stock owner, payer and tax role. The founder has confirmed SaaS and has </w:t>
      </w:r>
      <w:r>
        <w:rPr>
          <w:i/>
        </w:rPr>
        <w:t>not</w:t>
      </w:r>
      <w:r>
        <w:t xml:space="preserve"> confirmed Luma as a principal trader. Keep material revenue out of SaaS forecasts until this is resolved. The proposed “floor” calculation is a maximum affordable purchase price under its assumptions; it is not automatically a seller protection floor.</w:t>
      </w:r>
    </w:p>
    <w:p>
      <w:pPr>
        <w:spacing w:after="40"/>
        <w:ind w:left="432" w:hanging="317"/>
      </w:pPr>
      <w:r>
        <w:t xml:space="preserve">2.  </w:t>
      </w:r>
      <w:r>
        <w:rPr>
          <w:b/>
        </w:rPr>
        <w:t>Household payer resolved.</w:t>
      </w:r>
      <w:r>
        <w:t xml:space="preserve"> Workbook Use Case 1 assigns instant payment to a Saathi flow. The founder clarified on 6 October that the kabadiwala buys and pays the household, without Luma handling funds. The household team's work, stock custody and receipt issuer remain open.</w:t>
      </w:r>
    </w:p>
    <w:p>
      <w:pPr>
        <w:spacing w:after="40"/>
        <w:ind w:left="432" w:hanging="317"/>
      </w:pPr>
      <w:r>
        <w:t xml:space="preserve">3.  </w:t>
      </w:r>
      <w:r>
        <w:rPr>
          <w:b/>
        </w:rPr>
        <w:t>Names and role boundaries.</w:t>
      </w:r>
      <w:r>
        <w:t xml:space="preserve"> Replace workbook “yard (aggregator)” with </w:t>
      </w:r>
      <w:r>
        <w:rPr>
          <w:b/>
        </w:rPr>
        <w:t>preprocessor</w:t>
      </w:r>
      <w:r>
        <w:t xml:space="preserve"> in product language; “yard” can mean the site. A dry-waste centre, cooperative or recycler may also preprocess, so facility activities and permissions matter more than a single label. Keep manufacturers, including byproduct suppliers, in scope.</w:t>
      </w:r>
    </w:p>
    <w:p>
      <w:pPr>
        <w:spacing w:after="40"/>
        <w:ind w:left="432" w:hanging="317"/>
      </w:pPr>
      <w:r>
        <w:t xml:space="preserve">4.  </w:t>
      </w:r>
      <w:r>
        <w:rPr>
          <w:b/>
        </w:rPr>
        <w:t>Certificates and documents.</w:t>
      </w:r>
      <w:r>
        <w:t xml:space="preserve"> Luma may track evidence and external references. It cannot issue a CPCB EPR certificate, a local-body Extended Bulk Waste Generator Responsibility (EBWGR) certificate, or a voluntary textile transaction certificate. A GST invoice, e-way bill or payment can be </w:t>
      </w:r>
      <w:r>
        <w:rPr>
          <w:i/>
        </w:rPr>
        <w:t>prepared, linked or initiated</w:t>
      </w:r>
      <w:r>
        <w:t xml:space="preserve"> only after the responsible party, authorization and provider route are established. The workbook phrase “system produces” must not be read as present capability.</w:t>
      </w:r>
    </w:p>
    <w:p>
      <w:pPr>
        <w:spacing w:after="40"/>
        <w:ind w:left="432" w:hanging="317"/>
      </w:pPr>
      <w:r>
        <w:t xml:space="preserve">5.  </w:t>
      </w:r>
      <w:r>
        <w:rPr>
          <w:b/>
        </w:rPr>
        <w:t>Different legal regimes for different material.</w:t>
      </w:r>
      <w:r>
        <w:t xml:space="preserve"> The official </w:t>
      </w:r>
      <w:hyperlink r:id="rId12">
        <w:r>
          <w:rPr>
            <w:color w:val="175C73"/>
            <w:u w:val="single"/>
          </w:rPr>
          <w:t>Solid Waste Management Rules, 2026</w:t>
        </w:r>
      </w:hyperlink>
      <w:r>
        <w:t xml:space="preserve"> began on 1 April 2026 and define a bulk generator by any one of 20,000 m² floor area, 40,000 litres of water daily, or 100 kg of solid waste daily. They exclude industrial and other separately regulated waste. A factory's municipal dry waste and its manufacturing byproduct need different classification checks. The Rules assign EBWGR certificate generation to the local body; Luma may store a reference and supporting records.</w:t>
      </w:r>
    </w:p>
    <w:p>
      <w:pPr>
        <w:spacing w:after="40"/>
        <w:ind w:left="432" w:hanging="317"/>
      </w:pPr>
      <w:r>
        <w:t xml:space="preserve">6.  </w:t>
      </w:r>
      <w:r>
        <w:rPr>
          <w:b/>
        </w:rPr>
        <w:t>Tax and regulatory data cannot be constants yet.</w:t>
      </w:r>
      <w:r>
        <w:t xml:space="preserve"> The </w:t>
      </w:r>
      <w:hyperlink r:id="rId13">
        <w:r>
          <w:rPr>
            <w:color w:val="175C73"/>
            <w:u w:val="single"/>
          </w:rPr>
          <w:t>CBIC GST rate table</w:t>
        </w:r>
      </w:hyperlink>
      <w:r>
        <w:t xml:space="preserve"> lists heading 3915 plastic waste at 18%, which supports one workbook listing; the applicable date, exact product classification, other tax rates, reverse charge, TCS and invoicing still need a tax professional's sign-off. The workbook's EPR certificate rate, environmental-compensation amount, return dates, Karnataka fee category, pollution-consent category and payment duties also need primary-source and activity-specific review. Do not present any of its research numbers as live prices or legal advice.</w:t>
      </w:r>
    </w:p>
    <w:p>
      <w:pPr>
        <w:spacing w:after="40"/>
        <w:ind w:left="432" w:hanging="317"/>
      </w:pPr>
      <w:r>
        <w:t xml:space="preserve">7.  </w:t>
      </w:r>
      <w:r>
        <w:rPr>
          <w:b/>
        </w:rPr>
        <w:t>Evidence is not proof of origin by itself.</w:t>
      </w:r>
      <w:r>
        <w:t xml:space="preserve"> A photo, weight slip, QR/bag tag or imported certificate can be copied or entered incorrectly. Trace a physical lot through custody, sampling, transformations and claims, with correction and duplicate-claim controls. Photo GPS metadata is not needed and must not be a location source; decide metadata stripping for all image formats during file review as already agreed.</w:t>
      </w:r>
    </w:p>
    <w:p>
      <w:pPr>
        <w:spacing w:after="40"/>
        <w:ind w:left="432" w:hanging="317"/>
      </w:pPr>
      <w:r>
        <w:t xml:space="preserve">8.  </w:t>
      </w:r>
      <w:r>
        <w:rPr>
          <w:b/>
        </w:rPr>
        <w:t>Pricing and forecast logic need real costs.</w:t>
      </w:r>
      <w:r>
        <w:t xml:space="preserve"> The workbook's prices, trade listings, fee percentages and pilot counts are hypotheses. A per-hop fee can charge the same tonne more than once, while a trade fee may change GST treatment or payment responsibilities. Model fulfilment, support, provider, storage and compliance costs and test willingness to pay before approving tiers or claiming MRR. Use integer paise and grams in the product; workbook spreadsheet decimals are only planning arithmetic.</w:t>
      </w:r>
    </w:p>
    <w:p>
      <w:pPr>
        <w:pStyle w:val="Heading2"/>
      </w:pPr>
      <w:r>
        <w:t>Interview decisions requested next</w:t>
      </w:r>
    </w:p>
    <w:p>
      <w:pPr>
        <w:spacing w:after="40"/>
        <w:ind w:left="432" w:hanging="317"/>
      </w:pPr>
      <w:r>
        <w:t xml:space="preserve">1.  </w:t>
      </w:r>
      <w:r>
        <w:t>Which team or Saathi performs household pickup for the kabadiwala, and who creates the receipt and custody record after the kabadiwala pays?</w:t>
      </w:r>
    </w:p>
    <w:p>
      <w:pPr>
        <w:spacing w:after="40"/>
        <w:ind w:left="432" w:hanging="317"/>
      </w:pPr>
      <w:r>
        <w:t xml:space="preserve">2.  </w:t>
      </w:r>
      <w:r>
        <w:t>What onboarding checks and record permissions should each newly approved city, CSR, lender, auditor, union and apparel-brand account receive?</w:t>
      </w:r>
    </w:p>
    <w:p>
      <w:pPr>
        <w:spacing w:after="40"/>
        <w:ind w:left="432" w:hanging="317"/>
      </w:pPr>
      <w:r>
        <w:t xml:space="preserve">3.  </w:t>
      </w:r>
      <w:r>
        <w:t>Which first customer has a current, paid need: a generator site, a preprocessor, a recycler or a brand? Ask for a named pilot, current manual process, record volume and budget before using workbook prices.</w:t>
      </w:r>
    </w:p>
    <w:p>
      <w:pPr>
        <w:spacing w:after="40"/>
        <w:ind w:left="432" w:hanging="317"/>
      </w:pPr>
      <w:r>
        <w:t xml:space="preserve">4.  </w:t>
      </w:r>
      <w:r>
        <w:t>At which first hand-off will Luma record a real purchase rather than only traceability, and who issues its invoice, moves the material and settles a quality dispute?</w:t>
      </w:r>
    </w:p>
    <w:p>
      <w:r>
        <w:rPr>
          <w:b/>
        </w:rPr>
        <w:t>Feasibility gate status:</w:t>
      </w:r>
      <w:r>
        <w:t xml:space="preserve"> not passed. The workbook is strong coverage of candidate functions, but its assumptions, role additions, legal claims, price points and implementation actions need team decisions and primary evidence.</w:t>
      </w:r>
    </w:p>
    <w:p>
      <w:pPr>
        <w:pStyle w:val="Heading2"/>
      </w:pPr>
      <w:r>
        <w:t>6 October 2026 implementation decisions</w:t>
      </w:r>
    </w:p>
    <w:p>
      <w:r>
        <w:t>The founder requested implementation of the whole workbook scope, local tests, and a production release through Vercel. Implement it in compatible slices with the repository's required checks. A request for the full scope does not verify the workbook's illustrative rates, quality limits, legal claims or customer counts. Those values must remain configurable and unapproved until the appropriate buyer, customer or adviser verifies them.</w:t>
      </w:r>
    </w:p>
    <w:p>
      <w:pPr>
        <w:pStyle w:val="ListBullet"/>
      </w:pPr>
      <w:r>
        <w:t xml:space="preserve">The </w:t>
      </w:r>
      <w:r>
        <w:rPr>
          <w:b/>
        </w:rPr>
        <w:t>kabadiwala</w:t>
      </w:r>
      <w:r>
        <w:t xml:space="preserve"> buys household material and pays the household. Luma does not collect, hold or send that payment. The household team's pickup work is still to define.</w:t>
      </w:r>
    </w:p>
    <w:p>
      <w:pPr>
        <w:pStyle w:val="ListBullet"/>
      </w:pPr>
      <w:r>
        <w:t>City officials, CSR sponsors, lenders, auditors, waste-picker unions and apparel brands need platform accounts. Give each a separate least-privilege permission set; no group gains general access to another party's stock, prices, identity documents or certificates by joining.</w:t>
      </w:r>
    </w:p>
    <w:p>
      <w:pPr>
        <w:pStyle w:val="ListBullet"/>
      </w:pPr>
      <w:r>
        <w:t>All B2B payment must go through a payment gateway once connected. Do not offer direct settlement, manual/off-platform payment approval or simulated escrow as a live transaction path. Orders, inspections and custody records may exist without a completed payment; payment-dependent actions must wait for verified gateway state. The gateway provider and live account remain open at this entry.</w:t>
      </w:r>
    </w:p>
    <w:p>
      <w:pPr>
        <w:pStyle w:val="ListBullet"/>
      </w:pPr>
      <w:r>
        <w:t xml:space="preserve">A manufacturer may offer a non-hazardous recyclable byproduct to </w:t>
      </w:r>
      <w:r>
        <w:rPr>
          <w:b/>
        </w:rPr>
        <w:t>any approved buyer handling that material</w:t>
      </w:r>
      <w:r>
        <w:t>. Buyer eligibility follows the material and current approval, rather than only the prototype's next organisation type. Hazardous or uncertain material needs a separate gate; a seller declaration alone does not approve a buyer or prove legal eligibility.</w:t>
      </w:r>
    </w:p>
    <w:p>
      <w:pPr>
        <w:pStyle w:val="ListBullet"/>
      </w:pPr>
      <w:r>
        <w:t>Build evidence and references for GST, e-way bills, CPCB and textile claims without making Luma their issuer. The legally responsible party, official portal or certifier performs each external action.</w:t>
      </w:r>
    </w:p>
    <w:p>
      <w:pPr>
        <w:pStyle w:val="Heading2"/>
      </w:pPr>
      <w:r>
        <w:t>Implementation and release sequence</w:t>
      </w:r>
    </w:p>
    <w:p>
      <w:r>
        <w:t>This is the working implementation map for the full workbook request. Each slice must keep current data readable, include permission and failure tests, update the user guide for visible behavior and pass the repository release checks. The production release is the final verified result, not a substitute for deciding an open contract.</w:t>
      </w:r>
    </w:p>
    <w:p>
      <w:pPr>
        <w:spacing w:after="40"/>
        <w:ind w:left="432" w:hanging="317"/>
      </w:pPr>
      <w:r>
        <w:t xml:space="preserve">1.  </w:t>
      </w:r>
      <w:r>
        <w:rPr>
          <w:b/>
        </w:rPr>
        <w:t>Accounts and sites:</w:t>
      </w:r>
      <w:r>
        <w:t xml:space="preserve"> keep existing users; add approved participant accounts, facility/site activity and material-origin facts. Separate trading rights from read-only, sponsor, lender, city and audit rights. Verify each role's onboarding and cross-organisation access.</w:t>
      </w:r>
    </w:p>
    <w:p>
      <w:pPr>
        <w:spacing w:after="40"/>
        <w:ind w:left="432" w:hanging="317"/>
      </w:pPr>
      <w:r>
        <w:t xml:space="preserve">2.  </w:t>
      </w:r>
      <w:r>
        <w:rPr>
          <w:b/>
        </w:rPr>
        <w:t>Material catalogue and custody:</w:t>
      </w:r>
      <w:r>
        <w:t xml:space="preserve"> define material forms and buyer-grade specifications. Record source, lot, transfer, transformation, byproducts, losses and accepted integer grams. Preserve the old inventory owner until a tested reconciliation explains how the new lot records connect to it.</w:t>
      </w:r>
    </w:p>
    <w:p>
      <w:pPr>
        <w:spacing w:after="40"/>
        <w:ind w:left="432" w:hanging="317"/>
      </w:pPr>
      <w:r>
        <w:t xml:space="preserve">3.  </w:t>
      </w:r>
      <w:r>
        <w:rPr>
          <w:b/>
        </w:rPr>
        <w:t>Quality:</w:t>
      </w:r>
      <w:r>
        <w:t xml:space="preserve"> record sampling, lab or inspector, specification revision, measured result, acceptance, rejection and audited correction. Do not make workbook example limits the default for every buyer.</w:t>
      </w:r>
    </w:p>
    <w:p>
      <w:pPr>
        <w:spacing w:after="40"/>
        <w:ind w:left="432" w:hanging="317"/>
      </w:pPr>
      <w:r>
        <w:t xml:space="preserve">4.  </w:t>
      </w:r>
      <w:r>
        <w:rPr>
          <w:b/>
        </w:rPr>
        <w:t>Sourcing and trade:</w:t>
      </w:r>
      <w:r>
        <w:t xml:space="preserve"> allow approved buyers and sellers to discover and agree a material lot; record orders, dispatch, goods receipt and dispute. Replace the prototype's one-way role graph where manufacturers supply byproducts. Remove simulated escrow from live trade behavior. Keep payment dependent state blocked until the chosen gateway verifies it.</w:t>
      </w:r>
    </w:p>
    <w:p>
      <w:pPr>
        <w:spacing w:after="40"/>
        <w:ind w:left="432" w:hanging="317"/>
      </w:pPr>
      <w:r>
        <w:t xml:space="preserve">5.  </w:t>
      </w:r>
      <w:r>
        <w:rPr>
          <w:b/>
        </w:rPr>
        <w:t>Money and SaaS:</w:t>
      </w:r>
      <w:r>
        <w:t xml:space="preserve"> store material price, Luma service price and any disclosed transaction fee separately as integer paise. Make plan prices configurable; the workbook's numbers are research inputs. Connect B2B payment and subscriptions only through approved gateway flows, with webhook verification, idempotency, reconciliation, refund and failure handling before enabling live collection.</w:t>
      </w:r>
    </w:p>
    <w:p>
      <w:pPr>
        <w:spacing w:after="40"/>
        <w:ind w:left="432" w:hanging="317"/>
      </w:pPr>
      <w:r>
        <w:t xml:space="preserve">6.  </w:t>
      </w:r>
      <w:r>
        <w:rPr>
          <w:b/>
        </w:rPr>
        <w:t>Compliance evidence:</w:t>
      </w:r>
      <w:r>
        <w:t xml:space="preserve"> store external invoice, e-way bill, consent, EPR/EBWGR and voluntary textile certificate references with issuer, scope, expiry and source documents. Never generate a certificate in Luma. Gate any portal integration on official API access and legal review.</w:t>
      </w:r>
    </w:p>
    <w:p>
      <w:pPr>
        <w:spacing w:after="40"/>
        <w:ind w:left="432" w:hanging="317"/>
      </w:pPr>
      <w:r>
        <w:t xml:space="preserve">7.  </w:t>
      </w:r>
      <w:r>
        <w:rPr>
          <w:b/>
        </w:rPr>
        <w:t>Workspaces and reporting:</w:t>
      </w:r>
      <w:r>
        <w:t xml:space="preserve"> show each account only its authorized lots, procurement work, evidence, claims and reports. Build generator-site, preprocessor, recycler, manufacturer, brand and approved observer views; preserve language, accessibility, phone and desktop coverage.</w:t>
      </w:r>
    </w:p>
    <w:p>
      <w:pPr>
        <w:spacing w:after="40"/>
        <w:ind w:left="432" w:hanging="317"/>
      </w:pPr>
      <w:r>
        <w:t xml:space="preserve">8.  </w:t>
      </w:r>
      <w:r>
        <w:rPr>
          <w:b/>
        </w:rPr>
        <w:t>Local and release verification:</w:t>
      </w:r>
      <w:r>
        <w:t xml:space="preserve"> check all changed backend contracts, app flows, Word/user-guide outputs, </w:t>
      </w:r>
      <w:r>
        <w:rPr>
          <w:rFonts w:ascii="Liberation Mono" w:hAnsi="Liberation Mono"/>
          <w:sz w:val="17"/>
        </w:rPr>
        <w:t>pnpm check</w:t>
      </w:r>
      <w:r>
        <w:t xml:space="preserve">, build, required browser tests and an actual preview. Check Convex schema compatibility against deployed rows before a backend release. Merge through protected </w:t>
      </w:r>
      <w:r>
        <w:rPr>
          <w:rFonts w:ascii="Liberation Mono" w:hAnsi="Liberation Mono"/>
          <w:sz w:val="17"/>
        </w:rPr>
        <w:t>main</w:t>
      </w:r>
      <w:r>
        <w:t>, confirm Vercel production deployment and walk each enabled flow. Provider acceptance, compliance portal execution and customer payment remain separate live checks.</w:t>
      </w:r>
    </w:p>
    <w:p>
      <w:pPr>
        <w:pStyle w:val="Heading2"/>
      </w:pPr>
      <w:r>
        <w:t>6 October 2026 code checkpoint</w:t>
      </w:r>
    </w:p>
    <w:p>
      <w:r>
        <w:t>The implementation branch now has additive, permission-checked records for site type and material origin, stakeholder account requests, PET lot custody, integer-gram transformations, inspections with audited correction, and externally issued commercial-document references. These records describe what a participant reports. They do not by themselves create inventory, approve a material buyer, transfer title, prove an external certificate or settle money. The combined focused backend tests and TypeScript check passed locally. The complete user workflow, all language variants, provider checks, Word guide, protected-branch checks and production deployment still need verification.</w:t>
      </w:r>
    </w:p>
    <w:p>
      <w:r>
        <w:t>The current market only supports the prototype's next-step trading graph. The manufacturer-byproduct buyer rule must be implemented and tested before it is presented as available. The prototype's simulated escrow path must be closed before any live B2B use. The account-request API needs the corresponding customer and admin screens before teams can use those roles through the app. Neither a gateway provider nor a production gateway account has been approved in this interview.</w:t>
      </w:r>
    </w:p>
    <w:p>
      <w:pPr>
        <w:pStyle w:val="Heading1"/>
      </w:pPr>
      <w:r>
        <w:t>Documentation and implementation boundary</w:t>
      </w:r>
    </w:p>
    <w:p>
      <w:r>
        <w:t>The existing prototype pages and technical plans describe the previous product model. They are historical evidence of the prototype and are not approval to preserve their transaction flows in the redesigned product. This record owns the current direction. The architecture overview, data model, enhancement proposal and execution plan were reviewed. They describe the existing prototype or release controls; they do not validate the new PET business flow.</w:t>
      </w:r>
    </w:p>
    <w:p>
      <w:r>
        <w:t xml:space="preserve">The existing execution plan has release gates, but the documentation search found no dedicated business-feasibility gate for this refinement. Treat the PET flow as not yet through that gate. Before enabling a </w:t>
      </w:r>
      <w:r>
        <w:rPr>
          <w:b/>
        </w:rPr>
        <w:t>live commercial or compliance workflow</w:t>
      </w:r>
      <w:r>
        <w:t>, the team must verify:</w:t>
      </w:r>
    </w:p>
    <w:p>
      <w:pPr>
        <w:spacing w:after="40"/>
        <w:ind w:left="432" w:hanging="317"/>
      </w:pPr>
      <w:r>
        <w:t xml:space="preserve">1.  </w:t>
      </w:r>
      <w:r>
        <w:t>Business segments, supplier/buyer roles, S2P and P2P boundaries, and who owns each step from order to payment.</w:t>
      </w:r>
    </w:p>
    <w:p>
      <w:pPr>
        <w:spacing w:after="40"/>
        <w:ind w:left="432" w:hanging="317"/>
      </w:pPr>
      <w:r>
        <w:t xml:space="preserve">2.  </w:t>
      </w:r>
      <w:r>
        <w:t>Commercial ownership: material title, invoicing, tax, transport, payment and any transaction fee, with adviser review where required.</w:t>
      </w:r>
    </w:p>
    <w:p>
      <w:pPr>
        <w:spacing w:after="40"/>
        <w:ind w:left="432" w:hanging="317"/>
      </w:pPr>
      <w:r>
        <w:t xml:space="preserve">3.  </w:t>
      </w:r>
      <w:r>
        <w:t>Material catalogue, first grades, buyer specifications, sample/testing methods, mass-balance records, rejects and correction controls.</w:t>
      </w:r>
    </w:p>
    <w:p>
      <w:pPr>
        <w:spacing w:after="40"/>
        <w:ind w:left="432" w:hanging="317"/>
      </w:pPr>
      <w:r>
        <w:t xml:space="preserve">4.  </w:t>
      </w:r>
      <w:r>
        <w:t>Applicable organisation and facility registrations, compliance evidence, portal authority and the limits of any Luma integration.</w:t>
      </w:r>
    </w:p>
    <w:p>
      <w:pPr>
        <w:spacing w:after="40"/>
        <w:ind w:left="432" w:hanging="317"/>
      </w:pPr>
      <w:r>
        <w:t xml:space="preserve">5.  </w:t>
      </w:r>
      <w:r>
        <w:t>Operating economics and SaaS pricing assumptions, named users, sites, service costs and evidence that the proposed workflow solves a real need.</w:t>
      </w:r>
    </w:p>
    <w:p>
      <w:pPr>
        <w:spacing w:after="40"/>
        <w:ind w:left="432" w:hanging="317"/>
      </w:pPr>
      <w:r>
        <w:t xml:space="preserve">6.  </w:t>
      </w:r>
      <w:r>
        <w:t>Technical fit for traceability, quality evidence, audit history, access, document storage and external-system responsibilities.</w:t>
      </w:r>
    </w:p>
    <w:p>
      <w:pPr>
        <w:spacing w:after="40"/>
        <w:ind w:left="432" w:hanging="317"/>
      </w:pPr>
      <w:r>
        <w:t xml:space="preserve">7.  </w:t>
      </w:r>
      <w:r>
        <w:t>A bounded pilot, acceptance measures, accountable owners and a decision to proceed, revise or stop.</w:t>
      </w:r>
    </w:p>
    <w:p>
      <w:r>
        <w:t>Update product summaries as decisions are confirmed. The founder requested implementation and production delivery on 6 October. Keep unresolved commercial and legal behavior disabled or evidence-only until validated; require local tests, review and release checks before production deployment.</w:t>
      </w:r>
    </w:p>
    <w:p>
      <w:pPr>
        <w:pStyle w:val="Heading1"/>
      </w:pPr>
      <w:r>
        <w:t>Interview history</w:t>
      </w:r>
    </w:p>
    <w:p>
      <w:r>
        <w:t>Add each new entry below with its date. Keep confirmed decisions, open questions and rejected options separate.</w:t>
      </w:r>
    </w:p>
    <w:p>
      <w:pPr>
        <w:pStyle w:val="Heading2"/>
      </w:pPr>
      <w:r>
        <w:t>4 October 2026 Photo location metadata</w:t>
      </w:r>
    </w:p>
    <w:p>
      <w:r>
        <w:t xml:space="preserve">The founder clarified that GPS metadata embedded in photos is not needed. Location features must not depend on EXIF GPS data from a photo, including a photo transferred from a phone to a desktop. A transfer does not guarantee that metadata is removed: </w:t>
      </w:r>
      <w:hyperlink r:id="rId14">
        <w:r>
          <w:rPr>
            <w:color w:val="175C73"/>
            <w:u w:val="single"/>
          </w:rPr>
          <w:t>Apple's sharing guidance</w:t>
        </w:r>
      </w:hyperlink>
      <w:r>
        <w:t xml:space="preserve"> says location metadata may be shared unless the sender turns it off.</w:t>
      </w:r>
    </w:p>
    <w:p>
      <w:r>
        <w:t>Current code check: the household estimate path re-encodes JPEG and PNG images, and the onboarding upload path strips metadata from JPEG and PNG while retaining the orientation needed to display them. The onboarding upload path currently keeps WebP files byte-for-byte. Do not claim that all uploaded images are free of GPS metadata. The founder asked to decide whether every accepted image format must have GPS removed before storage during file review. A user-entered address or site location is a separate product question; this decision only covers metadata inside photos.</w:t>
      </w:r>
    </w:p>
    <w:sectPr w:rsidR="00FC693F" w:rsidRPr="0006063C" w:rsidSect="00034616">
      <w:pgSz w:w="11909" w:h="16834"/>
      <w:pgMar w:top="950" w:right="1051" w:bottom="950"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60" w:line="259" w:lineRule="auto"/>
    </w:pPr>
    <w:rPr>
      <w:rFonts w:ascii="Arial" w:hAnsi="Arial"/>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contextualSpacing/>
    </w:pPr>
    <w:rPr>
      <w:rFonts w:ascii="Arial" w:hAnsi="Arial"/>
      <w:b w:val="0"/>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9" w:lineRule="auto"/>
      <w:contextualSpacing/>
    </w:pPr>
    <w:rPr>
      <w:rFonts w:ascii="Arial" w:hAnsi="Arial"/>
      <w:b w:val="0"/>
      <w:color w:val="000000"/>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aCode">
    <w:name w:val="Luma Code"/>
    <w:pPr>
      <w:spacing w:after="20" w:line="245" w:lineRule="auto"/>
      <w:ind w:left="230"/>
    </w:pPr>
    <w:rPr>
      <w:rFonts w:ascii="Liberation Mono" w:hAnsi="Liberation Mono"/>
      <w:b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r.cpcb.gov.in/" TargetMode="External"/><Relationship Id="rId10" Type="http://schemas.openxmlformats.org/officeDocument/2006/relationships/hyperlink" Target="https://eprplastic.cpcb.gov.in/plastic/downloads/SOP%20PWP_0001.pdf" TargetMode="External"/><Relationship Id="rId11" Type="http://schemas.openxmlformats.org/officeDocument/2006/relationships/hyperlink" Target="https://cbic-gst.gov.in/ewaybill-rules.html" TargetMode="External"/><Relationship Id="rId12" Type="http://schemas.openxmlformats.org/officeDocument/2006/relationships/hyperlink" Target="https://moef.gov.in/uploads/pdf-uploads/pdf_69a16e3b04c107.91022257.pdf" TargetMode="External"/><Relationship Id="rId13" Type="http://schemas.openxmlformats.org/officeDocument/2006/relationships/hyperlink" Target="https://cbic-gst.gov.in/gst-goods-services-rates.html" TargetMode="External"/><Relationship Id="rId14" Type="http://schemas.openxmlformats.org/officeDocument/2006/relationships/hyperlink" Target="https://support.apple.com/guide/iphone/share-photos-and-videos-iphf28f17237/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 Green Platform Refinement Interview</dc:title>
  <dc:subject>Running product requirements interview</dc:subject>
  <dc:creator>Luma.Green</dc:creator>
  <cp:keywords/>
  <dc:description>generated by python-docx</dc:description>
  <cp:lastModifiedBy/>
  <cp:revision>1</cp:revision>
  <dcterms:created xsi:type="dcterms:W3CDTF">2013-12-23T23:15:00Z</dcterms:created>
  <dcterms:modified xsi:type="dcterms:W3CDTF">2013-12-23T23:15:00Z</dcterms:modified>
  <cp:category/>
</cp:coreProperties>
</file>