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2 October 2026, logo motion revision. Source baseline: 8975575. Includes the UI detail pass and wide artwork banners on the main public pages, with taller image crops on phones.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sell scrap</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Evidence and maintenance</w:t>
      </w:r>
    </w:p>
    <w:p>
      <w:pPr>
        <w:pStyle w:val="Heading1"/>
        <w:pageBreakBefore/>
      </w:pPr>
      <w:r>
        <w:t>01 Start here</w:t>
      </w:r>
    </w:p>
    <w:p>
      <w:pPr>
        <w:pageBreakBefore w:val="0"/>
      </w:pPr>
      <w:r>
        <w:t>Luma.Green records scrap collection and movement through the recycling chain. A household sells scrap.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Public pages contain generated decorative artwork, but the page screenshots themselves come from the browser. Text in the guide explains the controls; it does not paint controls over a screenshot.</w:t>
      </w:r>
    </w:p>
    <w:p>
      <w:pPr>
        <w:pStyle w:val="Heading2"/>
        <w:pageBreakBefore w:val="0"/>
      </w:pPr>
      <w:r>
        <w:t>Explore the home page</w:t>
      </w:r>
    </w:p>
    <w:p>
      <w:pPr>
        <w:pageBreakBefore w:val="0"/>
      </w:pPr>
      <w:r>
        <w:t>The home page explains the service before you enter a workflow. The materials section shows the main scrap groups. Use Sell scrap to select your own materials and quantities.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5939908" cy="402336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5939908" cy="402336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914027"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914027"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90308"/>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90308"/>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55055" cy="4023359"/>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55055" cy="4023359"/>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3024164"/>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3024164"/>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The local review address is http://localhost:3004.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Language selection in the disconnected local build. This screen remains available before SMS is configured.</w:t>
      </w:r>
    </w:p>
    <w:p>
      <w:pPr>
        <w:ind w:left="245" w:hanging="245"/>
      </w:pPr>
      <w:r>
        <w:t>1. Open /login. If the language chooser appears, choose your language.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Wait for the session to finish loading before opening a protected page.</w:t>
      </w:r>
    </w:p>
    <w:p>
      <w:pPr>
        <w:ind w:left="245" w:hanging="245"/>
      </w:pPr>
      <w:r>
        <w:t>5. Continue to your approved role or application status.</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19"/>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0"/>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With SMS connected, codes last five minutes and allow five attempts. The resend control has a 30-second delay. Repeated requests also have server limits. Do not repeatedly request codes when delivery is slow. If a send fails, follow the displayed retry state.</w:t>
      </w:r>
    </w:p>
    <w:p>
      <w:pPr>
        <w:pageBreakBefore w:val="0"/>
      </w:pPr>
      <w:r>
        <w:t>Regular sessions last up to 30 days. Sign in again after expiry. Sign out on shared devices. Your identity follows your phone number; the browser language does not change your role.</w:t>
      </w:r>
    </w:p>
    <w:p>
      <w:pPr>
        <w:pageBreakBefore w:val="0"/>
      </w:pPr>
      <w:r>
        <w:t>The twelve languages are English, Hindi, Bengali, Marathi, Telugu, Tamil, Gujarati, Kannada, Malayalam, Punjabi, Urdu and Arabic. The header language control shows the current language in its own script, for example English or العربية. Open it to choose another language. On phones, the brand appears as its icon; the full name appears on wider screens. Arabic and Urdu use right-to-left layouts. The admin console is English-only.</w:t>
      </w:r>
    </w:p>
    <w:p>
      <w:pPr>
        <w:pStyle w:val="Heading1"/>
        <w:pageBreakBefore/>
      </w:pPr>
      <w:r>
        <w:t>04 Household sell scrap</w:t>
      </w:r>
    </w:p>
    <w:p>
      <w:pPr>
        <w:keepNext/>
        <w:pageBreakBefore w:val="0"/>
        <w:spacing w:after="80"/>
      </w:pPr>
      <w:r>
        <w:drawing>
          <wp:inline xmlns:a="http://schemas.openxmlformats.org/drawingml/2006/main" xmlns:pic="http://schemas.openxmlformats.org/drawingml/2006/picture">
            <wp:extent cx="5722112" cy="4023360"/>
            <wp:docPr id="12" name="Picture 12"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1"/>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Successful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w:t>
      </w:r>
    </w:p>
    <w:p>
      <w:pPr>
        <w:pageBreakBefore w:val="0"/>
      </w:pPr>
      <w:r>
        <w:t>The draft is kept in this browser tab during the flow. A closed tab or reset can remove the draft. A submitted booking is a backend record. Do not treat a draft as a confirmed booking.</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225021" cy="7680958"/>
            <wp:docPr id="13" name="Picture 13"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2"/>
                    <a:stretch>
                      <a:fillRect/>
                    </a:stretch>
                  </pic:blipFill>
                  <pic:spPr>
                    <a:xfrm>
                      <a:off x="0" y="0"/>
                      <a:ext cx="2225021"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4" name="Picture 14"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3"/>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4"/>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16" name="Picture 16"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25"/>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17" name="Picture 17"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26"/>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3632375" cy="4023360"/>
            <wp:docPr id="18" name="Picture 18"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27"/>
                    <a:stretch>
                      <a:fillRect/>
                    </a:stretch>
                  </pic:blipFill>
                  <pic:spPr>
                    <a:xfrm>
                      <a:off x="0" y="0"/>
                      <a:ext cx="3632375" cy="4023360"/>
                    </a:xfrm>
                    <a:prstGeom prst="rect"/>
                  </pic:spPr>
                </pic:pic>
              </a:graphicData>
            </a:graphic>
          </wp:inline>
        </w:drawing>
      </w:r>
    </w:p>
    <w:p>
      <w:pPr>
        <w:pStyle w:val="Caption"/>
      </w:pPr>
      <w:r>
        <w:t>Current kabadiwala home components with synthetic documentation data. This is not a live session.</w:t>
      </w:r>
    </w:p>
    <w:p>
      <w:pPr>
        <w:pageBreakBefore w:val="0"/>
      </w:pPr>
      <w:r>
        <w:t>A kabadiwala is a local scrap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Use More for the role's additional pages. On wider screens the same app can show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19" name="Picture 19"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28"/>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0" name="Picture 20"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29"/>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1" name="Picture 21"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0"/>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2" name="Picture 22"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1"/>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23" name="Picture 23"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2"/>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24" name="Picture 24"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33"/>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25" name="Picture 25"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34"/>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26" name="Picture 26"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35"/>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27" name="Picture 27"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36"/>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28" name="Picture 28"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37"/>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29" name="Picture 29"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38"/>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Market to inspect available material from yards.</w:t>
      </w:r>
    </w:p>
    <w:p>
      <w:pPr>
        <w:ind w:left="245" w:hanging="245"/>
      </w:pPr>
      <w:r>
        <w:t>3. Use Trades to accept, dispatch or receive orders when the state allows it.</w:t>
      </w:r>
    </w:p>
    <w:p>
      <w:pPr>
        <w:ind w:left="245" w:hanging="245"/>
      </w:pPr>
      <w:r>
        <w:t>4. Use Stock to inspect recorded scrap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533561" cy="4023360"/>
            <wp:docPr id="30" name="Picture 30"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39"/>
                    <a:stretch>
                      <a:fillRect/>
                    </a:stretch>
                  </pic:blipFill>
                  <pic:spPr>
                    <a:xfrm>
                      <a:off x="0" y="0"/>
                      <a:ext cx="5533561" cy="4023360"/>
                    </a:xfrm>
                    <a:prstGeom prst="rect"/>
                  </pic:spPr>
                </pic:pic>
              </a:graphicData>
            </a:graphic>
          </wp:inline>
        </w:drawing>
      </w:r>
    </w:p>
    <w:p>
      <w:pPr>
        <w:pStyle w:val="Caption"/>
      </w:pPr>
      <w:r>
        <w:t>Current manufacturer home components with synthetic documentation data.</w:t>
      </w:r>
    </w:p>
    <w:p>
      <w:pPr>
        <w:ind w:left="245" w:hanging="245"/>
      </w:pPr>
      <w:r>
        <w:t>1. Open Market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694265"/>
            <wp:docPr id="31" name="Picture 31"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0"/>
                    <a:stretch>
                      <a:fillRect/>
                    </a:stretch>
                  </pic:blipFill>
                  <pic:spPr>
                    <a:xfrm>
                      <a:off x="0" y="0"/>
                      <a:ext cx="6263640" cy="6694265"/>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424755" cy="4023360"/>
            <wp:docPr id="32" name="Picture 32"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1"/>
                    <a:stretch>
                      <a:fillRect/>
                    </a:stretch>
                  </pic:blipFill>
                  <pic:spPr>
                    <a:xfrm>
                      <a:off x="0" y="0"/>
                      <a:ext cx="542475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Use the current job's action when the work is complete.</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33" name="Picture 33"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42"/>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that address only when ready to complete setup immediately.</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Sign out and test a normal sign-in.</w:t>
      </w:r>
    </w:p>
    <w:p>
      <w:pPr>
        <w:pageBreakBefore w:val="0"/>
      </w:pPr>
      <w:r>
        <w:t>Do not include a real password, authenticator key, QR code, backup code or identity file in a screenshot or this guide. Setup checks the configured email address; it does not prove mailbox ownership through a verification email. If an unexpected person claimed it, stop and use an owner-led recovery procedure.</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34" name="Picture 34"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43"/>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ageBreakBefore w:val="0"/>
      </w:pPr>
      <w:r>
        <w:t>No password-reset screen, recovery-email workflow, staff invitation or backup-code management screen is implemented. If the password is lost, or neither an authenticator nor an unused backup code is available, arrange owner-led recovery. A backup code replaces the authenticator step, not the password.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35" name="Picture 35"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44"/>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36" name="Picture 36"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45"/>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5059946" cy="4023360"/>
            <wp:docPr id="37" name="Picture 37"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46"/>
                    <a:stretch>
                      <a:fillRect/>
                    </a:stretch>
                  </pic:blipFill>
                  <pic:spPr>
                    <a:xfrm>
                      <a:off x="0" y="0"/>
                      <a:ext cx="5059946"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jc w:val="center"/>
      </w:pPr>
      <w:r>
        <w:drawing>
          <wp:inline xmlns:a="http://schemas.openxmlformats.org/drawingml/2006/main" xmlns:pic="http://schemas.openxmlformats.org/drawingml/2006/picture">
            <wp:extent cx="3171121" cy="4023360"/>
            <wp:docPr id="38" name="Picture 38" descr="Current pilot-report components with synthetic totals. These are not measured pilot results."/>
            <wp:cNvGraphicFramePr>
              <a:graphicFrameLocks noChangeAspect="1"/>
            </wp:cNvGraphicFramePr>
            <a:graphic>
              <a:graphicData uri="http://schemas.openxmlformats.org/drawingml/2006/picture">
                <pic:pic>
                  <pic:nvPicPr>
                    <pic:cNvPr id="0" name="admin-pilot.png"/>
                    <pic:cNvPicPr/>
                  </pic:nvPicPr>
                  <pic:blipFill>
                    <a:blip r:embed="rId47"/>
                    <a:stretch>
                      <a:fillRect/>
                    </a:stretch>
                  </pic:blipFill>
                  <pic:spPr>
                    <a:xfrm>
                      <a:off x="0" y="0"/>
                      <a:ext cx="3171121" cy="4023360"/>
                    </a:xfrm>
                    <a:prstGeom prst="rect"/>
                  </pic:spPr>
                </pic:pic>
              </a:graphicData>
            </a:graphic>
          </wp:inline>
        </w:drawing>
      </w:r>
    </w:p>
    <w:p>
      <w:pPr>
        <w:pStyle w:val="Caption"/>
      </w:pPr>
      <w:r>
        <w:t>Current pilot-report components with synthetic totals. These are not measured pilot results.</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39" name="Picture 39"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48"/>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40" name="Picture 40"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49"/>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41" name="Picture 41"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50"/>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42" name="Picture 42"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51"/>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43" name="Picture 43"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52"/>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440036" cy="4023360"/>
            <wp:docPr id="44" name="Picture 44"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53"/>
                    <a:stretch>
                      <a:fillRect/>
                    </a:stretch>
                  </pic:blipFill>
                  <pic:spPr>
                    <a:xfrm>
                      <a:off x="0" y="0"/>
                      <a:ext cx="5440036"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45" name="Picture 45"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54"/>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There is no offline write queue, background location service or independent native ledger. A mobile JavaScript export is not an APK or IPA installer.</w:t>
      </w:r>
    </w:p>
    <w:p>
      <w:pPr>
        <w:pStyle w:val="Heading2"/>
        <w:pageBreakBefore w:val="0"/>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in the intended backend; immediate admin setup</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Use docs/operations/launch-checklist.md, app-releases.md,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scrap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46" name="Picture 46"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55"/>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When data is available, choose a material to inspect its price detail and history. Check the city, unit and sample-data notice.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47" name="Picture 47" descr="Current rooftop-solar page header and banner. Scroll to reach the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56"/>
                    <a:stretch>
                      <a:fillRect/>
                    </a:stretch>
                  </pic:blipFill>
                  <pic:spPr>
                    <a:xfrm>
                      <a:off x="0" y="0"/>
                      <a:ext cx="5722112" cy="4023360"/>
                    </a:xfrm>
                    <a:prstGeom prst="rect"/>
                  </pic:spPr>
                </pic:pic>
              </a:graphicData>
            </a:graphic>
          </wp:inline>
        </w:drawing>
      </w:r>
    </w:p>
    <w:p>
      <w:pPr>
        <w:pStyle w:val="Caption"/>
      </w:pPr>
      <w:r>
        <w:t>Current rooftop-solar page header and banner. Scroll to reach the estimator. Estimates require a real site survey.</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48" name="Picture 48"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57"/>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header language control to change language.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49" name="Picture 49" descr="Current help-contact page header and banner. Scroll to reach the message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58"/>
                    <a:stretch>
                      <a:fillRect/>
                    </a:stretch>
                  </pic:blipFill>
                  <pic:spPr>
                    <a:xfrm>
                      <a:off x="0" y="0"/>
                      <a:ext cx="5722112" cy="4023360"/>
                    </a:xfrm>
                    <a:prstGeom prst="rect"/>
                  </pic:spPr>
                </pic:pic>
              </a:graphicData>
            </a:graphic>
          </wp:inline>
        </w:drawing>
      </w:r>
    </w:p>
    <w:p>
      <w:pPr>
        <w:pStyle w:val="Caption"/>
      </w:pPr>
      <w:r>
        <w:t>Current help-contact page header and banner. Scroll to reach the message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50" name="Picture 50"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59"/>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51" name="Picture 51"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60"/>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52" name="Picture 52"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61"/>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53" name="Picture 53"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62"/>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it does not submit the failed operation again automatically.</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main public pages place a wide artwork banner below the title and introduction. This includes How it works, Participants, Prices, Standards, Solar, Join and the help pages. Each banner uses a material or work scene. On phones, the image uses a taller crop so the scene remains clear. The artwork does not show a live customer, business or platform record.</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twelve languages. The language control changes text, direction and number formatting; it does not change access or stored records.</w:t>
      </w:r>
    </w:p>
    <w:p>
      <w:pPr>
        <w:pageBreakBefore w:val="0"/>
      </w:pPr>
      <w:r>
        <w:t>Use Appearance in the header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54" name="Picture 54"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63"/>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desktop header shows the main navigation links. On a phone, open the menu for links and sign-in. The language and appearance controls remain in the header. Use the page's Sell scrap, Join and help links to open a workflow.</w:t>
      </w:r>
    </w:p>
    <w:p>
      <w:pPr>
        <w:pageBreakBefore w:val="0"/>
      </w:pPr>
      <w:r>
        <w:t>The logo mark turns once when you hover over it or use the keyboard to focus its link. The name stays still. Reduced motion in your device settings disables the turn.</w:t>
      </w:r>
    </w:p>
    <w:p>
      <w:pPr>
        <w:keepNext/>
        <w:pageBreakBefore w:val="0"/>
        <w:spacing w:after="80"/>
      </w:pPr>
      <w:r>
        <w:drawing>
          <wp:inline xmlns:a="http://schemas.openxmlformats.org/drawingml/2006/main" xmlns:pic="http://schemas.openxmlformats.org/drawingml/2006/picture">
            <wp:extent cx="5722112" cy="4023360"/>
            <wp:docPr id="55" name="Picture 55"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64"/>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1560620"/>
            <wp:docPr id="56" name="Picture 56"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65"/>
                    <a:stretch>
                      <a:fillRect/>
                    </a:stretch>
                  </pic:blipFill>
                  <pic:spPr>
                    <a:xfrm>
                      <a:off x="0" y="0"/>
                      <a:ext cx="6263640" cy="1560620"/>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1560620"/>
            <wp:docPr id="57" name="Picture 57"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66"/>
                    <a:stretch>
                      <a:fillRect/>
                    </a:stretch>
                  </pic:blipFill>
                  <pic:spPr>
                    <a:xfrm>
                      <a:off x="0" y="0"/>
                      <a:ext cx="6263640" cy="1560620"/>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1560620"/>
            <wp:docPr id="58" name="Picture 58"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67"/>
                    <a:stretch>
                      <a:fillRect/>
                    </a:stretch>
                  </pic:blipFill>
                  <pic:spPr>
                    <a:xfrm>
                      <a:off x="0" y="0"/>
                      <a:ext cx="6263640" cy="1560620"/>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280160"/>
            <wp:docPr id="59" name="Picture 59"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68"/>
                    <a:stretch>
                      <a:fillRect/>
                    </a:stretch>
                  </pic:blipFill>
                  <pic:spPr>
                    <a:xfrm>
                      <a:off x="0" y="0"/>
                      <a:ext cx="2909454" cy="128016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60" name="Picture 60"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69"/>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61" name="Picture 61"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70"/>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62" name="Picture 62"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71"/>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