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740120" w:rsidRPr="00886BAE">
        <w:rPr>
          <w:i/>
          <w:color w:val="000000" w:themeColor="text1"/>
          <w:sz w:val="28"/>
          <w:szCs w:val="28"/>
        </w:rPr>
        <w:t>&lt;ngay_thang&gt;</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&lt;nam_kh_tkt&gt;</w:t>
      </w:r>
      <w:r w:rsidR="00820B7F">
        <w:rPr>
          <w:sz w:val="28"/>
          <w:szCs w:val="28"/>
        </w:rPr>
        <w:t xml:space="preserve"> </w:t>
      </w:r>
      <w:r w:rsidRPr="003E0F19">
        <w:rPr>
          <w:sz w:val="28"/>
          <w:szCs w:val="28"/>
        </w:rPr>
        <w:t xml:space="preserve">theo </w:t>
      </w:r>
      <w:r w:rsidR="00E81994" w:rsidRPr="00E81994">
        <w:rPr>
          <w:sz w:val="28"/>
          <w:szCs w:val="28"/>
        </w:rPr>
        <w:t>&lt;qd_tkt_tct&gt;</w:t>
      </w:r>
      <w:r w:rsidR="0092441E">
        <w:rPr>
          <w:sz w:val="28"/>
          <w:szCs w:val="28"/>
        </w:rPr>
        <w:t xml:space="preserve"> </w:t>
      </w:r>
      <w:r w:rsidR="0092441E" w:rsidRPr="0092441E">
        <w:rPr>
          <w:sz w:val="28"/>
          <w:szCs w:val="28"/>
        </w:rPr>
        <w:t>&lt;qd_tkt_tct_ngay_ban_hanh&gt;</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w:t>
      </w:r>
      <w:r w:rsidR="00094E0E">
        <w:rPr>
          <w:sz w:val="28"/>
          <w:szCs w:val="28"/>
        </w:rPr>
        <w:t>ộ</w:t>
      </w:r>
      <w:bookmarkStart w:id="0" w:name="_GoBack"/>
      <w:bookmarkEnd w:id="0"/>
      <w:r w:rsidRPr="003E0F19">
        <w:rPr>
          <w:sz w:val="28"/>
          <w:szCs w:val="28"/>
        </w:rPr>
        <w:t xml:space="preserve">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07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3260"/>
        <w:gridCol w:w="1985"/>
      </w:tblGrid>
      <w:tr w:rsidR="00A800AD" w:rsidRPr="00A800AD" w:rsidTr="00981474">
        <w:tc>
          <w:tcPr>
            <w:tcW w:w="3832"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777327" w:rsidRPr="00A800AD" w:rsidTr="00981474">
        <w:tc>
          <w:tcPr>
            <w:tcW w:w="3832" w:type="dxa"/>
          </w:tcPr>
          <w:p w:rsidR="00777327" w:rsidRPr="00A800AD" w:rsidRDefault="00777327" w:rsidP="00777327">
            <w:pPr>
              <w:jc w:val="both"/>
              <w:rPr>
                <w:color w:val="000000" w:themeColor="text1"/>
                <w:sz w:val="28"/>
                <w:szCs w:val="28"/>
              </w:rPr>
            </w:pPr>
            <w:r w:rsidRPr="00A800AD">
              <w:rPr>
                <w:color w:val="000000" w:themeColor="text1"/>
                <w:sz w:val="28"/>
                <w:szCs w:val="28"/>
              </w:rPr>
              <w:t>+ &lt;ten_cb&gt;</w:t>
            </w:r>
          </w:p>
        </w:tc>
        <w:tc>
          <w:tcPr>
            <w:tcW w:w="3260" w:type="dxa"/>
          </w:tcPr>
          <w:p w:rsidR="00777327" w:rsidRPr="00A800AD" w:rsidRDefault="00777327" w:rsidP="00777327">
            <w:pPr>
              <w:jc w:val="both"/>
              <w:rPr>
                <w:color w:val="000000" w:themeColor="text1"/>
                <w:sz w:val="28"/>
                <w:szCs w:val="28"/>
              </w:rPr>
            </w:pPr>
            <w:r w:rsidRPr="00A800AD">
              <w:rPr>
                <w:color w:val="000000" w:themeColor="text1"/>
                <w:sz w:val="28"/>
                <w:szCs w:val="28"/>
              </w:rPr>
              <w:t>- &lt;ngach_cb&gt;</w:t>
            </w:r>
          </w:p>
        </w:tc>
        <w:tc>
          <w:tcPr>
            <w:tcW w:w="1985" w:type="dxa"/>
          </w:tcPr>
          <w:p w:rsidR="00777327" w:rsidRPr="00A800AD" w:rsidRDefault="00777327" w:rsidP="00777327">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4427B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EC0" w:rsidRDefault="00062EC0">
      <w:r>
        <w:separator/>
      </w:r>
    </w:p>
  </w:endnote>
  <w:endnote w:type="continuationSeparator" w:id="0">
    <w:p w:rsidR="00062EC0" w:rsidRDefault="0006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EC0" w:rsidRDefault="00062EC0">
      <w:r>
        <w:separator/>
      </w:r>
    </w:p>
  </w:footnote>
  <w:footnote w:type="continuationSeparator" w:id="0">
    <w:p w:rsidR="00062EC0" w:rsidRDefault="00062E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2EC0"/>
    <w:rsid w:val="0006359F"/>
    <w:rsid w:val="00067313"/>
    <w:rsid w:val="00091867"/>
    <w:rsid w:val="00093289"/>
    <w:rsid w:val="0009339D"/>
    <w:rsid w:val="00094E0E"/>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96762"/>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27B7"/>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8271D"/>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0120"/>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1474"/>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A7ECA"/>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0A109F5"/>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5EDB1-4073-4B7B-89AB-C018015F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cp:lastModifiedBy>
  <cp:revision>22</cp:revision>
  <cp:lastPrinted>2020-12-14T00:51:00Z</cp:lastPrinted>
  <dcterms:created xsi:type="dcterms:W3CDTF">2021-09-22T01:49:00Z</dcterms:created>
  <dcterms:modified xsi:type="dcterms:W3CDTF">2022-11-15T22:41:00Z</dcterms:modified>
</cp:coreProperties>
</file>