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  <w:bookmarkStart w:id="0" w:name="_GoBack"/>
      <w:bookmarkEnd w:id="0"/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1404/QĐ-TCT ngày 28 tháng 07 năm 2015 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2605/QĐ-TCT ngày 30 tháng 12 năm 2016 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&lt;qd_tkt_tct&gt;</w:t>
      </w:r>
      <w:r w:rsidR="00902751">
        <w:rPr>
          <w:sz w:val="28"/>
          <w:szCs w:val="28"/>
        </w:rPr>
        <w:t xml:space="preserve"> </w:t>
      </w:r>
      <w:r w:rsidR="00902751" w:rsidRPr="00902751">
        <w:rPr>
          <w:sz w:val="28"/>
          <w:szCs w:val="28"/>
        </w:rPr>
        <w:t>&lt;qd_tkt_tct_ngay_ban_hanh&gt;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&lt;nam_kh_tkt&gt;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D44E2-1E02-4515-A358-930CEEB0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26</cp:revision>
  <cp:lastPrinted>2020-10-12T07:38:00Z</cp:lastPrinted>
  <dcterms:created xsi:type="dcterms:W3CDTF">2021-09-21T14:11:00Z</dcterms:created>
  <dcterms:modified xsi:type="dcterms:W3CDTF">2021-10-27T02:18:00Z</dcterms:modified>
</cp:coreProperties>
</file>