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7223AA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7223AA" w:rsidP="007223AA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203200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A395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6pt" to="4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"/>
            </w:pict>
          </mc:Fallback>
        </mc:AlternateContent>
      </w:r>
      <w:r w:rsidR="008444AF"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="008444AF" w:rsidRPr="008444AF">
        <w:rPr>
          <w:b/>
        </w:rPr>
        <w:t xml:space="preserve"> </w:t>
      </w:r>
      <w:r w:rsidR="008444AF">
        <w:rPr>
          <w:b/>
        </w:rPr>
        <w:tab/>
      </w:r>
      <w:r w:rsidR="008444AF"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96AE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.45pt" to="9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oa3izdgA&#10;AAAEAQAADwAAAAAAAAAAAAAAAABrBAAAZHJzL2Rvd25yZXYueG1sUEsFBgAAAAAEAAQA8wAAAHAF&#10;AAAAAA==&#10;"/>
            </w:pict>
          </mc:Fallback>
        </mc:AlternateContent>
      </w: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9136FB" w:rsidRDefault="008444AF" w:rsidP="007223AA">
      <w:pPr>
        <w:tabs>
          <w:tab w:val="center" w:pos="1800"/>
          <w:tab w:val="right" w:pos="9356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92331" w:rsidRPr="00886BAE">
        <w:rPr>
          <w:i/>
          <w:color w:val="000000" w:themeColor="text1"/>
          <w:sz w:val="28"/>
          <w:szCs w:val="28"/>
        </w:rPr>
        <w:t>&lt;ngay_thang&gt;</w:t>
      </w:r>
    </w:p>
    <w:p w:rsidR="00295469" w:rsidRDefault="00295469" w:rsidP="0060645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64CCF" w:rsidRPr="00606458" w:rsidRDefault="00295469" w:rsidP="0060645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TRƯ</w:t>
      </w:r>
      <w:r w:rsidR="008513A8" w:rsidRPr="008513A8">
        <w:rPr>
          <w:b/>
          <w:sz w:val="28"/>
          <w:szCs w:val="28"/>
        </w:rPr>
        <w:t>ỚC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</w:p>
    <w:p w:rsidR="00FC0C5D" w:rsidRPr="00AD5D96" w:rsidRDefault="009E6842" w:rsidP="00E53FBE">
      <w:pPr>
        <w:spacing w:line="264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="00092331" w:rsidRPr="00886BAE">
        <w:rPr>
          <w:color w:val="000000" w:themeColor="text1"/>
          <w:sz w:val="28"/>
          <w:szCs w:val="28"/>
        </w:rPr>
        <w:t>&lt;ngay_thang&gt;</w:t>
      </w:r>
      <w:r w:rsidRPr="009E6842">
        <w:rPr>
          <w:sz w:val="28"/>
          <w:szCs w:val="28"/>
        </w:rPr>
        <w:t xml:space="preserve"> của Cục trưởng Cục Thuế tỉnh Quảng Trị về việc giám sát hoạt động của Đoàn ki</w:t>
      </w:r>
      <w:r w:rsidR="003319CC">
        <w:rPr>
          <w:sz w:val="28"/>
          <w:szCs w:val="28"/>
        </w:rPr>
        <w:t>ểm tra trước hoàn thuế GTGT tại</w:t>
      </w:r>
      <w:r w:rsidRPr="009E6842">
        <w:rPr>
          <w:sz w:val="28"/>
          <w:szCs w:val="28"/>
        </w:rPr>
        <w:t xml:space="preserve"> </w:t>
      </w:r>
      <w:r w:rsidR="00092331" w:rsidRPr="00886BAE">
        <w:rPr>
          <w:color w:val="000000" w:themeColor="text1"/>
          <w:sz w:val="28"/>
          <w:szCs w:val="28"/>
          <w:lang w:val="nl-NL"/>
        </w:rPr>
        <w:t>&lt;ten_dv&gt;</w:t>
      </w:r>
      <w:r w:rsidR="00092331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9E6842">
        <w:rPr>
          <w:sz w:val="28"/>
          <w:szCs w:val="28"/>
        </w:rPr>
        <w:t>, công chức được giao nhiệm vụ giám sát lập kế hoạch giám sát như sau</w:t>
      </w:r>
      <w:r w:rsidR="00295469" w:rsidRPr="00AD5D96">
        <w:rPr>
          <w:sz w:val="28"/>
          <w:szCs w:val="28"/>
        </w:rPr>
        <w:t>:</w:t>
      </w:r>
    </w:p>
    <w:p w:rsidR="00295469" w:rsidRPr="00332158" w:rsidRDefault="00295469" w:rsidP="00E53FBE">
      <w:pPr>
        <w:spacing w:line="264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>Đoàn kiểm tra trước hoàn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nhằm theo dõi, nắm bắt việc chấp hành pháp luật, tuân thủ Luật quản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>Đoàn kiểm tra trước hoàn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>
        <w:rPr>
          <w:sz w:val="28"/>
          <w:szCs w:val="28"/>
        </w:rPr>
        <w:t>đã được phê duyệt.</w:t>
      </w:r>
    </w:p>
    <w:p w:rsidR="00332158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</w:t>
      </w:r>
      <w:r w:rsidR="008513A8">
        <w:rPr>
          <w:sz w:val="28"/>
          <w:szCs w:val="28"/>
        </w:rPr>
        <w:t>Đoàn kiểm tra trước hoàn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:rsidR="00332158" w:rsidRDefault="00332158" w:rsidP="00E53FBE">
      <w:pPr>
        <w:spacing w:line="264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>
        <w:rPr>
          <w:sz w:val="28"/>
          <w:szCs w:val="28"/>
        </w:rPr>
        <w:t xml:space="preserve">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9C1696">
        <w:rPr>
          <w:sz w:val="28"/>
          <w:szCs w:val="28"/>
        </w:rPr>
        <w:t>thanh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 xml:space="preserve">tính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513A8">
        <w:rPr>
          <w:sz w:val="28"/>
          <w:szCs w:val="28"/>
        </w:rPr>
        <w:t>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E53FBE" w:rsidRDefault="004220A7" w:rsidP="00606458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406665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bookmarkStart w:id="0" w:name="_GoBack"/>
      <w:r w:rsidRPr="00406665">
        <w:rPr>
          <w:b/>
          <w:color w:val="000000" w:themeColor="text1"/>
          <w:sz w:val="28"/>
          <w:szCs w:val="28"/>
        </w:rPr>
        <w:tab/>
      </w:r>
      <w:r w:rsidRPr="00406665">
        <w:rPr>
          <w:b/>
          <w:color w:val="000000" w:themeColor="text1"/>
          <w:sz w:val="28"/>
          <w:szCs w:val="28"/>
          <w:lang w:val="nl-NL"/>
        </w:rPr>
        <w:t>&lt;ld_cuc_ten&gt;</w:t>
      </w:r>
      <w:r w:rsidRPr="00406665">
        <w:rPr>
          <w:b/>
          <w:color w:val="000000" w:themeColor="text1"/>
          <w:sz w:val="28"/>
          <w:szCs w:val="28"/>
        </w:rPr>
        <w:tab/>
        <w:t>&lt;ld_phong_ten&gt;</w:t>
      </w:r>
    </w:p>
    <w:bookmarkEnd w:id="0"/>
    <w:p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7223AA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EDD" w:rsidRDefault="00925EDD" w:rsidP="00164CCF">
      <w:r>
        <w:separator/>
      </w:r>
    </w:p>
  </w:endnote>
  <w:endnote w:type="continuationSeparator" w:id="0">
    <w:p w:rsidR="00925EDD" w:rsidRDefault="00925EDD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C8" w:rsidRPr="00164CCF" w:rsidRDefault="002463C8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40666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EDD" w:rsidRDefault="00925EDD" w:rsidP="00164CCF">
      <w:r>
        <w:separator/>
      </w:r>
    </w:p>
  </w:footnote>
  <w:footnote w:type="continuationSeparator" w:id="0">
    <w:p w:rsidR="00925EDD" w:rsidRDefault="00925EDD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5CB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19CC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2046"/>
    <w:rsid w:val="003E6099"/>
    <w:rsid w:val="003E6DBB"/>
    <w:rsid w:val="003F034C"/>
    <w:rsid w:val="003F360A"/>
    <w:rsid w:val="00406665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17A2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6458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223AA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5ED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638A"/>
    <w:rsid w:val="00B64088"/>
    <w:rsid w:val="00B66F4C"/>
    <w:rsid w:val="00B71823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3467E-7BA3-4606-8450-3B6C55E7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9</cp:revision>
  <cp:lastPrinted>2021-10-05T07:02:00Z</cp:lastPrinted>
  <dcterms:created xsi:type="dcterms:W3CDTF">2021-10-12T06:36:00Z</dcterms:created>
  <dcterms:modified xsi:type="dcterms:W3CDTF">2022-11-08T03:02:00Z</dcterms:modified>
</cp:coreProperties>
</file>