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>
        <w:rPr>
          <w:i/>
          <w:sz w:val="28"/>
          <w:szCs w:val="28"/>
        </w:rPr>
        <w:t>&lt;ngay_thang&gt;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bookmarkStart w:id="0" w:name="_GoBack"/>
      <w:bookmarkEnd w:id="0"/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>&lt;sl_cb&gt; đ/c cán bộ Phòng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608ED"/>
    <w:rsid w:val="002D1052"/>
    <w:rsid w:val="002E505F"/>
    <w:rsid w:val="00476A79"/>
    <w:rsid w:val="004A2530"/>
    <w:rsid w:val="00A424EB"/>
    <w:rsid w:val="00C36CA7"/>
    <w:rsid w:val="00C914D4"/>
    <w:rsid w:val="00CB0EE9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51AE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 Nguyen</cp:lastModifiedBy>
  <cp:revision>12</cp:revision>
  <dcterms:created xsi:type="dcterms:W3CDTF">2021-10-12T01:43:00Z</dcterms:created>
  <dcterms:modified xsi:type="dcterms:W3CDTF">2021-10-16T16:15:00Z</dcterms:modified>
</cp:coreProperties>
</file>