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5609F3" w:rsidRPr="00A36482" w:rsidTr="005609F3">
        <w:tc>
          <w:tcPr>
            <w:tcW w:w="4508" w:type="dxa"/>
          </w:tcPr>
          <w:p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t>CỤC THUẾ TỈNH QUẢNG TRỊ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5609F3" w:rsidRPr="00A36482" w:rsidTr="005609F3">
        <w:tc>
          <w:tcPr>
            <w:tcW w:w="4508" w:type="dxa"/>
          </w:tcPr>
          <w:p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rPr>
                <w:b/>
                <w:spacing w:val="-10"/>
                <w:sz w:val="28"/>
              </w:rPr>
              <w:t>PHÒNG TT – KT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:rsidR="005609F3" w:rsidRPr="00A36482" w:rsidRDefault="005609F3"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AA82C" wp14:editId="10E256FC">
                <wp:simplePos x="0" y="0"/>
                <wp:positionH relativeFrom="column">
                  <wp:posOffset>3558299</wp:posOffset>
                </wp:positionH>
                <wp:positionV relativeFrom="paragraph">
                  <wp:posOffset>-635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59D8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2pt,-.05pt" to="424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dbmKnbAAAABwEAAA8AAABkcnMvZG93bnJldi54bWxMjsFOwzAQRO9I&#10;/IO1SFyq1mkpVRTiVAjIrRcKiOs2XpKIeJ3Gbhv4+i5c4Pg0o5mXr0fXqSMNofVsYD5LQBFX3rZc&#10;G3h9KacpqBCRLXaeycAXBVgXlxc5Ztaf+JmO21grGeGQoYEmxj7TOlQNOQwz3xNL9uEHh1FwqLUd&#10;8CTjrtOLJFlphy3LQ4M9PTRUfW4PzkAo32hffk+qSfJ+U3ta7B83T2jM9dV4fwcq0hj/yvCjL+pQ&#10;iNPOH9gG1Rm4XSVLqRqYzkFJni5T4d0v6yLX//2LMwAAAP//AwBQSwECLQAUAAYACAAAACEAtoM4&#10;kv4AAADhAQAAEwAAAAAAAAAAAAAAAAAAAAAAW0NvbnRlbnRfVHlwZXNdLnhtbFBLAQItABQABgAI&#10;AAAAIQA4/SH/1gAAAJQBAAALAAAAAAAAAAAAAAAAAC8BAABfcmVscy8ucmVsc1BLAQItABQABgAI&#10;AAAAIQBW/6JvHAIAADYEAAAOAAAAAAAAAAAAAAAAAC4CAABkcnMvZTJvRG9jLnhtbFBLAQItABQA&#10;BgAIAAAAIQDXW5ip2wAAAAcBAAAPAAAAAAAAAAAAAAAAAHYEAABkcnMvZG93bnJldi54bWxQSwUG&#10;AAAAAAQABADzAAAAfgUAAAAA&#10;"/>
            </w:pict>
          </mc:Fallback>
        </mc:AlternateContent>
      </w:r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BDC4" wp14:editId="7E4BF465">
                <wp:simplePos x="0" y="0"/>
                <wp:positionH relativeFrom="column">
                  <wp:posOffset>638563</wp:posOffset>
                </wp:positionH>
                <wp:positionV relativeFrom="paragraph">
                  <wp:posOffset>-2272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3C7F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pt,-.2pt" to="124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rWtBQdoAAAAHAQAADwAAAGRycy9kb3ducmV2LnhtbEyPQU/CQBCF7yb8&#10;h82YeCGwtRJCareEqL15ETBeh+7YNnZnS3eB6q939KLHl/fyzTf5enSdOtMQWs8GbucJKOLK25Zr&#10;A/tdOVuBChHZYueZDHxSgHUxucoxs/7CL3TexloJhEOGBpoY+0zrUDXkMMx9Tyzdux8cRolDre2A&#10;F4G7TqdJstQOW5YLDfb00FD1sT05A6F8pWP5Na2mydtd7Sk9Pj4/oTE31+PmHlSkMf6N4Udf1KEQ&#10;p4M/sQ2qkyx0mRqYLUBJny5W8srhN+si1//9i28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rWtBQdoAAAAHAQAADwAAAAAAAAAAAAAAAAB1BAAAZHJzL2Rvd25yZXYueG1sUEsFBgAA&#10;AAAEAAQA8wAAAHwFAAAAAA==&#10;"/>
            </w:pict>
          </mc:Fallback>
        </mc:AlternateContent>
      </w:r>
    </w:p>
    <w:p w:rsidR="005609F3" w:rsidRPr="00A36482" w:rsidRDefault="005609F3" w:rsidP="005609F3"/>
    <w:p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6F0F80">
        <w:rPr>
          <w:sz w:val="28"/>
          <w:lang w:val="nl-NL"/>
        </w:rPr>
        <w:t xml:space="preserve"> số </w:t>
      </w:r>
      <w:r w:rsidR="006F0F80" w:rsidRPr="00795056">
        <w:rPr>
          <w:sz w:val="28"/>
          <w:szCs w:val="28"/>
        </w:rPr>
        <w:t>&lt;so_ttrinh&gt;</w:t>
      </w:r>
      <w:r w:rsidR="006F0F80">
        <w:rPr>
          <w:sz w:val="28"/>
          <w:szCs w:val="28"/>
        </w:rPr>
        <w:t xml:space="preserve"> ngày</w:t>
      </w:r>
      <w:bookmarkStart w:id="0" w:name="_GoBack"/>
      <w:bookmarkEnd w:id="0"/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1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1"/>
      <w:r w:rsidRPr="00CF10B0">
        <w:rPr>
          <w:color w:val="000000"/>
          <w:sz w:val="28"/>
        </w:rPr>
        <w:t>;</w:t>
      </w:r>
    </w:p>
    <w:p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:rsidR="00B16B44" w:rsidRPr="005609F3" w:rsidRDefault="00B16B44" w:rsidP="005609F3">
      <w:pPr>
        <w:ind w:firstLine="720"/>
        <w:rPr>
          <w:sz w:val="28"/>
        </w:rPr>
      </w:pPr>
    </w:p>
    <w:sectPr w:rsidR="00B16B44" w:rsidRPr="0056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609F3"/>
    <w:rsid w:val="005E3420"/>
    <w:rsid w:val="006F0F80"/>
    <w:rsid w:val="007657BD"/>
    <w:rsid w:val="00781C64"/>
    <w:rsid w:val="008653A2"/>
    <w:rsid w:val="008747D7"/>
    <w:rsid w:val="00A26D7B"/>
    <w:rsid w:val="00A36482"/>
    <w:rsid w:val="00A44E07"/>
    <w:rsid w:val="00B16B44"/>
    <w:rsid w:val="00B50FCD"/>
    <w:rsid w:val="00BB74A0"/>
    <w:rsid w:val="00BD0B0C"/>
    <w:rsid w:val="00C7429B"/>
    <w:rsid w:val="00CF10B0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BECA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20</cp:revision>
  <dcterms:created xsi:type="dcterms:W3CDTF">2022-06-29T08:13:00Z</dcterms:created>
  <dcterms:modified xsi:type="dcterms:W3CDTF">2022-07-01T08:04:00Z</dcterms:modified>
</cp:coreProperties>
</file>