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ngày      tháng 9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2271/QĐ-TCT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 xml:space="preserve"> ngày 30 tháng 12 năm 2020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2021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2021</w:t>
      </w:r>
      <w:r w:rsidRPr="00676C51">
        <w:rPr>
          <w:noProof/>
          <w:sz w:val="28"/>
          <w:szCs w:val="28"/>
          <w:lang w:val="nl-NL"/>
        </w:rPr>
        <w:t>;</w:t>
      </w:r>
      <w:bookmarkStart w:id="0" w:name="_GoBack"/>
      <w:bookmarkEnd w:id="0"/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Cổ Phần Liên Doanh Cảng Quốc Tế Mỹ Thủy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Cổ Phần Liên Doanh Cảng Quốc Tế Mỹ Thủy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676C51" w:rsidRDefault="007E0E53" w:rsidP="00ED237A">
      <w:pPr>
        <w:numPr>
          <w:ilvl w:val="0"/>
          <w:numId w:val="2"/>
        </w:numPr>
        <w:tabs>
          <w:tab w:val="left" w:pos="851"/>
        </w:tabs>
        <w:spacing w:line="264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Bố trí đoàn thanh tra gồm: </w:t>
      </w:r>
      <w:r w:rsidR="00ED237A" w:rsidRPr="00ED237A">
        <w:rPr>
          <w:lang w:val="nl-NL"/>
        </w:rPr>
        <w:t>02</w:t>
      </w:r>
      <w:r w:rsidR="00ED237A">
        <w:rPr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>đồng chí</w:t>
      </w:r>
      <w:r w:rsidR="005038A6" w:rsidRPr="00676C51">
        <w:rPr>
          <w:sz w:val="28"/>
          <w:szCs w:val="28"/>
          <w:lang w:val="nl-NL"/>
        </w:rPr>
        <w:t xml:space="preserve"> phòng</w:t>
      </w:r>
      <w:r w:rsidR="00A75A6C" w:rsidRPr="00676C51">
        <w:rPr>
          <w:sz w:val="28"/>
          <w:szCs w:val="28"/>
          <w:lang w:val="nl-NL"/>
        </w:rPr>
        <w:t xml:space="preserve"> Thanh tra </w:t>
      </w:r>
      <w:r w:rsidR="00B64334">
        <w:rPr>
          <w:sz w:val="28"/>
          <w:szCs w:val="28"/>
          <w:lang w:val="nl-NL"/>
        </w:rPr>
        <w:t xml:space="preserve">– </w:t>
      </w:r>
      <w:r w:rsidR="001462B6" w:rsidRPr="00676C51">
        <w:rPr>
          <w:sz w:val="28"/>
          <w:szCs w:val="28"/>
          <w:lang w:val="nl-NL"/>
        </w:rPr>
        <w:t>Kiểm tra</w:t>
      </w:r>
      <w:r w:rsidR="001D6A7F" w:rsidRPr="00676C51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9C1263">
      <w:pPr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Cổ Phần Liên Doanh Cảng Quốc Tế Mỹ Thủy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E98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D4C58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9C17-0423-402D-B5E9-AD882670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17</cp:revision>
  <cp:lastPrinted>2020-10-12T07:38:00Z</cp:lastPrinted>
  <dcterms:created xsi:type="dcterms:W3CDTF">2021-09-21T14:11:00Z</dcterms:created>
  <dcterms:modified xsi:type="dcterms:W3CDTF">2021-09-27T17:05:00Z</dcterms:modified>
</cp:coreProperties>
</file>