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Luật Quản lý thuế ngày 13 tháng 6 năm 2019 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22/06/2021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</w:t>
      </w:r>
      <w:bookmarkStart w:id="0" w:name="_GoBack"/>
      <w:bookmarkEnd w:id="0"/>
      <w:r w:rsidRPr="00122A0F">
        <w:rPr>
          <w:color w:val="000000" w:themeColor="text1"/>
          <w:sz w:val="28"/>
          <w:szCs w:val="28"/>
          <w:lang w:val="nl-NL"/>
        </w:rPr>
        <w:t xml:space="preserve">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Công Ty Cổ Phần Đầu Tư Xăng Dầu Việt Lào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2018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03</w:t>
      </w:r>
      <w:r w:rsidRPr="0090040D">
        <w:rPr>
          <w:color w:val="auto"/>
          <w:lang w:val="nl-NL"/>
        </w:rPr>
        <w:t xml:space="preserve">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 xml:space="preserve">/c cán bộ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 xml:space="preserve">ồng chí </w:t>
      </w:r>
      <w:r w:rsidR="00AB0AC8" w:rsidRPr="00AB0AC8">
        <w:rPr>
          <w:color w:val="auto"/>
          <w:lang w:val="nl-NL"/>
        </w:rPr>
        <w:t xml:space="preserve">ông Phạm Văn Vui - Phó trưởng phòng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03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ngày 06 tháng 9 năm 2021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Pr="00AB0AC8">
        <w:rPr>
          <w:i/>
          <w:sz w:val="28"/>
          <w:szCs w:val="28"/>
          <w:lang w:val="nl-NL"/>
        </w:rPr>
        <w:t>ngày      tháng 9 năm 2021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PHÓ TRƯỞNG PHÒNG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Nguyễn Tiền Hải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B08" w:rsidRDefault="006F1B08">
      <w:r>
        <w:separator/>
      </w:r>
    </w:p>
  </w:endnote>
  <w:endnote w:type="continuationSeparator" w:id="0">
    <w:p w:rsidR="006F1B08" w:rsidRDefault="006F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B08" w:rsidRDefault="006F1B08">
      <w:r>
        <w:separator/>
      </w:r>
    </w:p>
  </w:footnote>
  <w:footnote w:type="continuationSeparator" w:id="0">
    <w:p w:rsidR="006F1B08" w:rsidRDefault="006F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5</cp:revision>
  <cp:lastPrinted>2021-06-29T08:39:00Z</cp:lastPrinted>
  <dcterms:created xsi:type="dcterms:W3CDTF">2021-10-13T01:50:00Z</dcterms:created>
  <dcterms:modified xsi:type="dcterms:W3CDTF">2021-10-15T02:33:00Z</dcterms:modified>
</cp:coreProperties>
</file>