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521E9B01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bookmarkStart w:id="0" w:name="_GoBack"/>
      <w:bookmarkEnd w:id="0"/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7B2D68C0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E15B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2CD1B158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ngày 29 tháng 3 năm 2022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ngày 13 tháng 06 năm 2019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Quyết định số 746/QĐ-TCT ngày 20 tháng 04 năm 2015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1968/QĐ-TCT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2022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Công Ty Cổ Phần Năng Lượng Trường Danh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01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bà Hồ Phương Thanh - 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03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ngày 12 tháng 3 năm 2022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Công Ty Cổ Phần Năng Lượng Trường Danh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7D0D-C1ED-4E9B-BB1D-75514AFE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254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40</cp:revision>
  <cp:lastPrinted>2020-10-12T07:38:00Z</cp:lastPrinted>
  <dcterms:created xsi:type="dcterms:W3CDTF">2021-08-18T02:23:00Z</dcterms:created>
  <dcterms:modified xsi:type="dcterms:W3CDTF">2021-12-16T09:33:00Z</dcterms:modified>
</cp:coreProperties>
</file>