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2B7" w:rsidRDefault="003472B7" w:rsidP="00333D10">
      <w:r>
        <w:t>INTITULÉ DE POSTE : post-doctorant en LSHS concepteur-coordinateur d’une base de données sur la thématique du jeu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070"/>
        <w:gridCol w:w="6142"/>
      </w:tblGrid>
      <w:tr w:rsidR="003472B7" w:rsidRPr="00CA534C">
        <w:tc>
          <w:tcPr>
            <w:tcW w:w="9212" w:type="dxa"/>
            <w:gridSpan w:val="2"/>
          </w:tcPr>
          <w:p w:rsidR="003472B7" w:rsidRPr="00CA534C" w:rsidRDefault="003472B7" w:rsidP="00CA534C">
            <w:pPr>
              <w:spacing w:after="0" w:line="240" w:lineRule="auto"/>
              <w:rPr>
                <w:sz w:val="24"/>
                <w:szCs w:val="24"/>
              </w:rPr>
            </w:pPr>
            <w:r w:rsidRPr="00CA534C">
              <w:rPr>
                <w:sz w:val="24"/>
                <w:szCs w:val="24"/>
              </w:rPr>
              <w:t>Catégorie : contrat post-doctoral d’</w:t>
            </w:r>
            <w:r>
              <w:rPr>
                <w:sz w:val="24"/>
                <w:szCs w:val="24"/>
              </w:rPr>
              <w:t>un an (renouvelable 1 fois</w:t>
            </w:r>
            <w:r w:rsidRPr="00CA534C">
              <w:rPr>
                <w:sz w:val="24"/>
                <w:szCs w:val="24"/>
              </w:rPr>
              <w:t>)</w:t>
            </w:r>
          </w:p>
          <w:p w:rsidR="003472B7" w:rsidRPr="00CA534C" w:rsidRDefault="003472B7" w:rsidP="00CA534C">
            <w:pPr>
              <w:spacing w:after="0" w:line="240" w:lineRule="auto"/>
              <w:rPr>
                <w:sz w:val="24"/>
                <w:szCs w:val="24"/>
              </w:rPr>
            </w:pPr>
            <w:r w:rsidRPr="00CA534C">
              <w:rPr>
                <w:sz w:val="24"/>
                <w:szCs w:val="24"/>
              </w:rPr>
              <w:t>Structure de référence : GIS « Jeu et sociétés »</w:t>
            </w:r>
          </w:p>
          <w:p w:rsidR="003472B7" w:rsidRPr="00CA534C" w:rsidRDefault="003472B7" w:rsidP="00CA534C">
            <w:pPr>
              <w:spacing w:after="0" w:line="240" w:lineRule="auto"/>
              <w:rPr>
                <w:sz w:val="24"/>
                <w:szCs w:val="24"/>
              </w:rPr>
            </w:pPr>
            <w:r w:rsidRPr="00CA534C">
              <w:rPr>
                <w:sz w:val="24"/>
                <w:szCs w:val="24"/>
              </w:rPr>
              <w:t xml:space="preserve">Localisation géographique : </w:t>
            </w:r>
            <w:r>
              <w:rPr>
                <w:sz w:val="24"/>
                <w:szCs w:val="24"/>
              </w:rPr>
              <w:t>Université Paris 13, 99, avenue Jean-Baptiste Clément, 93430 Villetaneuse</w:t>
            </w:r>
          </w:p>
          <w:p w:rsidR="003472B7" w:rsidRPr="00CA534C" w:rsidRDefault="003472B7" w:rsidP="00CA534C">
            <w:pPr>
              <w:spacing w:after="0" w:line="240" w:lineRule="auto"/>
              <w:rPr>
                <w:sz w:val="24"/>
                <w:szCs w:val="24"/>
              </w:rPr>
            </w:pPr>
            <w:r w:rsidRPr="00CA534C">
              <w:rPr>
                <w:sz w:val="24"/>
                <w:szCs w:val="24"/>
              </w:rPr>
              <w:t>Rattachement hiérarchique au sein de la structure : </w:t>
            </w:r>
            <w:r>
              <w:rPr>
                <w:sz w:val="24"/>
                <w:szCs w:val="24"/>
              </w:rPr>
              <w:t>Dominique Desjeux, université Paris Descartes, président du GIS ; Elisabeth Belmas, université Paris 13, MSH Paris-Nord, secrétaire générale du GIS</w:t>
            </w:r>
          </w:p>
          <w:p w:rsidR="003472B7" w:rsidRPr="00CA534C" w:rsidRDefault="003472B7" w:rsidP="00CA534C">
            <w:pPr>
              <w:spacing w:after="0" w:line="240" w:lineRule="auto"/>
              <w:rPr>
                <w:sz w:val="24"/>
                <w:szCs w:val="24"/>
              </w:rPr>
            </w:pPr>
            <w:r w:rsidRPr="00CA534C">
              <w:rPr>
                <w:sz w:val="24"/>
                <w:szCs w:val="24"/>
              </w:rPr>
              <w:t>Quotité de travail inhérente au poste : 100%</w:t>
            </w:r>
          </w:p>
          <w:p w:rsidR="003472B7" w:rsidRDefault="003472B7" w:rsidP="00CA534C">
            <w:pPr>
              <w:spacing w:after="0" w:line="240" w:lineRule="auto"/>
              <w:rPr>
                <w:sz w:val="24"/>
                <w:szCs w:val="24"/>
              </w:rPr>
            </w:pPr>
            <w:r w:rsidRPr="00CA534C">
              <w:rPr>
                <w:sz w:val="24"/>
                <w:szCs w:val="24"/>
              </w:rPr>
              <w:t>Prise de fonction : </w:t>
            </w:r>
            <w:r>
              <w:rPr>
                <w:sz w:val="24"/>
                <w:szCs w:val="24"/>
              </w:rPr>
              <w:t>1</w:t>
            </w:r>
            <w:r w:rsidRPr="001F2690">
              <w:rPr>
                <w:sz w:val="24"/>
                <w:szCs w:val="24"/>
                <w:vertAlign w:val="superscript"/>
              </w:rPr>
              <w:t>er</w:t>
            </w:r>
            <w:r>
              <w:rPr>
                <w:sz w:val="24"/>
                <w:szCs w:val="24"/>
              </w:rPr>
              <w:t xml:space="preserve"> novembre 2014</w:t>
            </w:r>
          </w:p>
          <w:p w:rsidR="003472B7" w:rsidRPr="00CA534C" w:rsidRDefault="003472B7" w:rsidP="00CA534C">
            <w:pPr>
              <w:spacing w:after="0" w:line="240" w:lineRule="auto"/>
              <w:rPr>
                <w:sz w:val="24"/>
                <w:szCs w:val="24"/>
              </w:rPr>
            </w:pPr>
            <w:r>
              <w:rPr>
                <w:sz w:val="24"/>
                <w:szCs w:val="24"/>
              </w:rPr>
              <w:t xml:space="preserve">Rémunération : </w:t>
            </w:r>
            <w:r>
              <w:rPr>
                <w:color w:val="000000"/>
              </w:rPr>
              <w:t> 2395 € brut par mois </w:t>
            </w:r>
          </w:p>
          <w:p w:rsidR="003472B7" w:rsidRPr="00CA534C" w:rsidRDefault="003472B7" w:rsidP="00CA534C">
            <w:pPr>
              <w:spacing w:after="0" w:line="240" w:lineRule="auto"/>
            </w:pPr>
          </w:p>
        </w:tc>
      </w:tr>
      <w:tr w:rsidR="003472B7" w:rsidRPr="00CA534C">
        <w:tc>
          <w:tcPr>
            <w:tcW w:w="3070" w:type="dxa"/>
          </w:tcPr>
          <w:p w:rsidR="003472B7" w:rsidRPr="00CA534C" w:rsidRDefault="003472B7" w:rsidP="00CA534C">
            <w:pPr>
              <w:spacing w:after="0" w:line="240" w:lineRule="auto"/>
              <w:jc w:val="center"/>
              <w:rPr>
                <w:b/>
                <w:bCs/>
                <w:sz w:val="24"/>
                <w:szCs w:val="24"/>
              </w:rPr>
            </w:pPr>
          </w:p>
          <w:p w:rsidR="003472B7" w:rsidRPr="00CA534C" w:rsidRDefault="003472B7" w:rsidP="00CA534C">
            <w:pPr>
              <w:spacing w:after="0" w:line="240" w:lineRule="auto"/>
              <w:jc w:val="center"/>
              <w:rPr>
                <w:b/>
                <w:bCs/>
                <w:sz w:val="24"/>
                <w:szCs w:val="24"/>
              </w:rPr>
            </w:pPr>
          </w:p>
          <w:p w:rsidR="003472B7" w:rsidRPr="00CA534C" w:rsidRDefault="003472B7" w:rsidP="00CA534C">
            <w:pPr>
              <w:spacing w:after="0" w:line="240" w:lineRule="auto"/>
              <w:jc w:val="center"/>
              <w:rPr>
                <w:b/>
                <w:bCs/>
                <w:sz w:val="24"/>
                <w:szCs w:val="24"/>
              </w:rPr>
            </w:pPr>
          </w:p>
          <w:p w:rsidR="003472B7" w:rsidRPr="00CA534C" w:rsidRDefault="003472B7" w:rsidP="00CA534C">
            <w:pPr>
              <w:spacing w:after="0" w:line="240" w:lineRule="auto"/>
              <w:jc w:val="center"/>
              <w:rPr>
                <w:b/>
                <w:bCs/>
                <w:sz w:val="24"/>
                <w:szCs w:val="24"/>
              </w:rPr>
            </w:pPr>
          </w:p>
          <w:p w:rsidR="003472B7" w:rsidRPr="00CA534C" w:rsidRDefault="003472B7" w:rsidP="00CA534C">
            <w:pPr>
              <w:spacing w:after="0" w:line="240" w:lineRule="auto"/>
              <w:jc w:val="center"/>
              <w:rPr>
                <w:b/>
                <w:bCs/>
                <w:sz w:val="24"/>
                <w:szCs w:val="24"/>
              </w:rPr>
            </w:pPr>
          </w:p>
          <w:p w:rsidR="003472B7" w:rsidRPr="00CA534C" w:rsidRDefault="003472B7" w:rsidP="00CA534C">
            <w:pPr>
              <w:spacing w:after="0" w:line="240" w:lineRule="auto"/>
              <w:jc w:val="center"/>
              <w:rPr>
                <w:b/>
                <w:bCs/>
                <w:sz w:val="24"/>
                <w:szCs w:val="24"/>
              </w:rPr>
            </w:pPr>
          </w:p>
          <w:p w:rsidR="003472B7" w:rsidRPr="00CA534C" w:rsidRDefault="003472B7" w:rsidP="00CA534C">
            <w:pPr>
              <w:spacing w:after="0" w:line="240" w:lineRule="auto"/>
              <w:jc w:val="center"/>
              <w:rPr>
                <w:b/>
                <w:bCs/>
                <w:sz w:val="24"/>
                <w:szCs w:val="24"/>
              </w:rPr>
            </w:pPr>
          </w:p>
          <w:p w:rsidR="003472B7" w:rsidRPr="00CA534C" w:rsidRDefault="003472B7" w:rsidP="00CA534C">
            <w:pPr>
              <w:spacing w:after="0" w:line="240" w:lineRule="auto"/>
              <w:jc w:val="center"/>
              <w:rPr>
                <w:b/>
                <w:bCs/>
                <w:sz w:val="24"/>
                <w:szCs w:val="24"/>
              </w:rPr>
            </w:pPr>
            <w:r w:rsidRPr="00CA534C">
              <w:rPr>
                <w:b/>
                <w:bCs/>
                <w:sz w:val="24"/>
                <w:szCs w:val="24"/>
              </w:rPr>
              <w:t>Missions de la structure référente :</w:t>
            </w:r>
          </w:p>
          <w:p w:rsidR="003472B7" w:rsidRPr="00CA534C" w:rsidRDefault="003472B7" w:rsidP="00CA534C">
            <w:pPr>
              <w:spacing w:after="0" w:line="240" w:lineRule="auto"/>
              <w:jc w:val="center"/>
            </w:pPr>
            <w:r w:rsidRPr="00CA534C">
              <w:rPr>
                <w:b/>
                <w:bCs/>
                <w:sz w:val="24"/>
                <w:szCs w:val="24"/>
              </w:rPr>
              <w:t>GIS « Jeu et sociétés »</w:t>
            </w:r>
          </w:p>
        </w:tc>
        <w:tc>
          <w:tcPr>
            <w:tcW w:w="6142" w:type="dxa"/>
          </w:tcPr>
          <w:p w:rsidR="003472B7" w:rsidRPr="00CA534C" w:rsidRDefault="003472B7" w:rsidP="00CA534C">
            <w:pPr>
              <w:spacing w:after="0" w:line="240" w:lineRule="auto"/>
              <w:jc w:val="both"/>
              <w:rPr>
                <w:lang w:eastAsia="fr-FR"/>
              </w:rPr>
            </w:pPr>
            <w:r w:rsidRPr="00CA534C">
              <w:rPr>
                <w:lang w:eastAsia="fr-FR"/>
              </w:rPr>
              <w:t>Le GIS « Jeu et Société » regroupe des enseignants-chercheurs et chercheurs des universités Paris Descartes, Paris 13-SPC et Paris Paris Ouest-Nanterre La Défense, spécialistes des questions liées au jeu dans des approches pluridisciplinaires en Lettres, sciences humaines et sociales (LSHS). Le financement du GIS est à hauteur de</w:t>
            </w:r>
            <w:r>
              <w:rPr>
                <w:lang w:eastAsia="fr-FR"/>
              </w:rPr>
              <w:t xml:space="preserve"> 360 000 euros répartis sur 3 ans, </w:t>
            </w:r>
            <w:r w:rsidRPr="00CA534C">
              <w:rPr>
                <w:lang w:eastAsia="fr-FR"/>
              </w:rPr>
              <w:t>grâce au partenariat actif avec la société La Française des Jeux.</w:t>
            </w:r>
            <w:r>
              <w:rPr>
                <w:lang w:eastAsia="fr-FR"/>
              </w:rPr>
              <w:t xml:space="preserve"> </w:t>
            </w:r>
          </w:p>
          <w:p w:rsidR="003472B7" w:rsidRPr="00CA534C" w:rsidRDefault="003472B7" w:rsidP="00CA534C">
            <w:pPr>
              <w:pStyle w:val="NoSpacing"/>
              <w:jc w:val="both"/>
            </w:pPr>
            <w:r w:rsidRPr="00CA534C">
              <w:rPr>
                <w:lang w:eastAsia="fr-FR"/>
              </w:rPr>
              <w:t xml:space="preserve">Ce GIS prend la suite du Forum « Jeu et société » (2010-2013) qui a financé sur appel à projets des recherches, des publications et des rencontres scientifiques. </w:t>
            </w:r>
            <w:r w:rsidRPr="00CA534C">
              <w:t>Afin de favoriser le développement et la diffusion des connaissances sur la place du jeu dans la société, l’université Paris 13-SPC (UFR Lettres, Sciences de l'Homme et des Sociétés) et l’université Paris Descartes (Laboratoire Cerlis-CNRS) avaient signé avec la Française des Jeux une convention.</w:t>
            </w:r>
            <w:r w:rsidRPr="00CA534C">
              <w:rPr>
                <w:lang w:eastAsia="fr-FR"/>
              </w:rPr>
              <w:t xml:space="preserve"> </w:t>
            </w:r>
          </w:p>
          <w:p w:rsidR="003472B7" w:rsidRPr="00CA534C" w:rsidRDefault="003472B7" w:rsidP="00CA534C">
            <w:pPr>
              <w:spacing w:after="0" w:line="240" w:lineRule="auto"/>
              <w:jc w:val="both"/>
              <w:rPr>
                <w:lang w:eastAsia="fr-FR"/>
              </w:rPr>
            </w:pPr>
          </w:p>
          <w:p w:rsidR="003472B7" w:rsidRPr="00CA534C" w:rsidRDefault="003472B7" w:rsidP="00CA534C">
            <w:pPr>
              <w:spacing w:after="0" w:line="240" w:lineRule="auto"/>
              <w:jc w:val="both"/>
              <w:rPr>
                <w:b/>
                <w:bCs/>
                <w:lang w:eastAsia="fr-FR"/>
              </w:rPr>
            </w:pPr>
            <w:r w:rsidRPr="00CA534C">
              <w:rPr>
                <w:lang w:eastAsia="fr-FR"/>
              </w:rPr>
              <w:t>Les objectifs scientifiques du GIS « Jeu et Société » (2013-2015) sont centrés autour de 5 grands axes :</w:t>
            </w:r>
          </w:p>
          <w:p w:rsidR="003472B7" w:rsidRPr="00CA534C" w:rsidRDefault="003472B7" w:rsidP="00CA534C">
            <w:pPr>
              <w:spacing w:after="80" w:line="240" w:lineRule="auto"/>
              <w:jc w:val="both"/>
              <w:rPr>
                <w:lang w:eastAsia="fr-FR"/>
              </w:rPr>
            </w:pPr>
            <w:r w:rsidRPr="00CA534C">
              <w:rPr>
                <w:lang w:eastAsia="fr-FR"/>
              </w:rPr>
              <w:t>- Favoriser l’émergence des LSHS dans le domaine du jeu et des sociétés, dont le jeu de hasard et d’argent, en aidant les chercheurs et en privilégiant une approche pluridisciplinaire (droit, littérature, philosophie, histoire, géographie, sociologie, psychologie, anthropologie, etc.)  ,</w:t>
            </w:r>
          </w:p>
          <w:p w:rsidR="003472B7" w:rsidRPr="00CA534C" w:rsidRDefault="003472B7" w:rsidP="00CA534C">
            <w:pPr>
              <w:spacing w:after="80" w:line="240" w:lineRule="auto"/>
              <w:jc w:val="both"/>
              <w:rPr>
                <w:lang w:eastAsia="fr-FR"/>
              </w:rPr>
            </w:pPr>
            <w:r w:rsidRPr="00CA534C">
              <w:rPr>
                <w:lang w:eastAsia="fr-FR"/>
              </w:rPr>
              <w:t>- Etre ouvert aux acteurs du champ sanitaire (addiction jeu de hasard et d’argent, jeu vidéo, etc.) dans le cadre d’invitations à des journées d’étude ou des séminaires au même titre qu’aux représentants du champ social,</w:t>
            </w:r>
          </w:p>
          <w:p w:rsidR="003472B7" w:rsidRPr="00CA534C" w:rsidRDefault="003472B7" w:rsidP="00CA534C">
            <w:pPr>
              <w:spacing w:after="80" w:line="240" w:lineRule="auto"/>
              <w:jc w:val="both"/>
              <w:rPr>
                <w:lang w:eastAsia="fr-FR"/>
              </w:rPr>
            </w:pPr>
            <w:r w:rsidRPr="00CA534C">
              <w:rPr>
                <w:lang w:eastAsia="fr-FR"/>
              </w:rPr>
              <w:t>- S’inscrire dans une logique de complémentarité de l’Observatoire des Jeux (ODJ)</w:t>
            </w:r>
          </w:p>
          <w:p w:rsidR="003472B7" w:rsidRPr="00CA534C" w:rsidRDefault="003472B7" w:rsidP="00CA534C">
            <w:pPr>
              <w:spacing w:after="80" w:line="240" w:lineRule="auto"/>
              <w:jc w:val="both"/>
              <w:rPr>
                <w:lang w:eastAsia="fr-FR"/>
              </w:rPr>
            </w:pPr>
            <w:r w:rsidRPr="00CA534C">
              <w:rPr>
                <w:lang w:eastAsia="fr-FR"/>
              </w:rPr>
              <w:t>- Concevoir un centre de ressources documentaires – scientifique et universitaire –, représentant la diversité des approches (thèses, travaux divers, annonce de manifestations) sur le jeu,</w:t>
            </w:r>
            <w:r w:rsidRPr="00CA534C">
              <w:rPr>
                <w:shd w:val="clear" w:color="auto" w:fill="FFFFFF"/>
                <w:lang w:eastAsia="fr-FR"/>
              </w:rPr>
              <w:t xml:space="preserve"> et, dans cette perspective, réaliser la numérisation de corpus de textes théoriques et critiques, d’histoire littéraire, d’histoire des sciences dites dures, d’histoire des sciences humaines et sociales  </w:t>
            </w:r>
          </w:p>
          <w:p w:rsidR="003472B7" w:rsidRPr="00CA534C" w:rsidRDefault="003472B7" w:rsidP="00CA534C">
            <w:pPr>
              <w:spacing w:after="0" w:line="260" w:lineRule="atLeast"/>
              <w:contextualSpacing/>
              <w:jc w:val="both"/>
              <w:rPr>
                <w:lang w:eastAsia="fr-FR"/>
              </w:rPr>
            </w:pPr>
            <w:r w:rsidRPr="00CA534C">
              <w:rPr>
                <w:lang w:eastAsia="fr-FR"/>
              </w:rPr>
              <w:t xml:space="preserve">- Aider à la vulgarisation des  travaux innovants, de façon à les rendre plus accessibles hors du champ universitaire.   </w:t>
            </w:r>
          </w:p>
          <w:p w:rsidR="003472B7" w:rsidRPr="00CA534C" w:rsidRDefault="003472B7" w:rsidP="00CA534C">
            <w:pPr>
              <w:spacing w:after="0" w:line="240" w:lineRule="auto"/>
              <w:jc w:val="both"/>
            </w:pPr>
          </w:p>
          <w:p w:rsidR="003472B7" w:rsidRPr="00CA534C" w:rsidRDefault="003472B7" w:rsidP="00CA534C">
            <w:pPr>
              <w:spacing w:after="0" w:line="240" w:lineRule="auto"/>
              <w:jc w:val="both"/>
              <w:rPr>
                <w:color w:val="000000"/>
              </w:rPr>
            </w:pPr>
            <w:r w:rsidRPr="00CA534C">
              <w:t xml:space="preserve">Ce projet comporte </w:t>
            </w:r>
            <w:r w:rsidRPr="00CA534C">
              <w:rPr>
                <w:color w:val="000000"/>
              </w:rPr>
              <w:t>une importante dimension archivistique et d’information numérique autour de la création et du développement d’une plateforme intitulée « Ludocorpus ».</w:t>
            </w:r>
          </w:p>
          <w:p w:rsidR="003472B7" w:rsidRPr="00CA534C" w:rsidRDefault="003472B7" w:rsidP="00CA534C">
            <w:pPr>
              <w:spacing w:after="0" w:line="240" w:lineRule="auto"/>
              <w:jc w:val="both"/>
              <w:rPr>
                <w:color w:val="000000"/>
              </w:rPr>
            </w:pPr>
            <w:r w:rsidRPr="00CA534C">
              <w:rPr>
                <w:color w:val="000000"/>
                <w:u w:val="single"/>
              </w:rPr>
              <w:t>Le projet complet sera envoyé sur demande</w:t>
            </w:r>
            <w:r w:rsidRPr="00CA534C">
              <w:rPr>
                <w:color w:val="000000"/>
              </w:rPr>
              <w:t>.</w:t>
            </w:r>
          </w:p>
          <w:p w:rsidR="003472B7" w:rsidRPr="00CA534C" w:rsidRDefault="003472B7" w:rsidP="00CA534C">
            <w:pPr>
              <w:spacing w:after="0" w:line="240" w:lineRule="auto"/>
            </w:pPr>
          </w:p>
        </w:tc>
      </w:tr>
      <w:tr w:rsidR="003472B7" w:rsidRPr="00CA534C">
        <w:tc>
          <w:tcPr>
            <w:tcW w:w="3070" w:type="dxa"/>
          </w:tcPr>
          <w:p w:rsidR="003472B7" w:rsidRPr="00CA534C" w:rsidRDefault="003472B7" w:rsidP="00CA534C">
            <w:pPr>
              <w:spacing w:after="0" w:line="240" w:lineRule="auto"/>
              <w:rPr>
                <w:b/>
                <w:bCs/>
                <w:sz w:val="24"/>
                <w:szCs w:val="24"/>
              </w:rPr>
            </w:pPr>
          </w:p>
          <w:p w:rsidR="003472B7" w:rsidRPr="00CA534C" w:rsidRDefault="003472B7" w:rsidP="00CA534C">
            <w:pPr>
              <w:spacing w:after="0" w:line="240" w:lineRule="auto"/>
              <w:rPr>
                <w:b/>
                <w:bCs/>
                <w:sz w:val="24"/>
                <w:szCs w:val="24"/>
              </w:rPr>
            </w:pPr>
          </w:p>
          <w:p w:rsidR="003472B7" w:rsidRPr="00CA534C" w:rsidRDefault="003472B7" w:rsidP="00CA534C">
            <w:pPr>
              <w:spacing w:after="0" w:line="240" w:lineRule="auto"/>
              <w:rPr>
                <w:b/>
                <w:bCs/>
                <w:sz w:val="24"/>
                <w:szCs w:val="24"/>
              </w:rPr>
            </w:pPr>
          </w:p>
          <w:p w:rsidR="003472B7" w:rsidRPr="00CA534C" w:rsidRDefault="003472B7" w:rsidP="00CA534C">
            <w:pPr>
              <w:spacing w:after="0" w:line="240" w:lineRule="auto"/>
              <w:rPr>
                <w:b/>
                <w:bCs/>
                <w:sz w:val="24"/>
                <w:szCs w:val="24"/>
              </w:rPr>
            </w:pPr>
          </w:p>
          <w:p w:rsidR="003472B7" w:rsidRPr="00CA534C" w:rsidRDefault="003472B7" w:rsidP="00CA534C">
            <w:pPr>
              <w:spacing w:after="0" w:line="240" w:lineRule="auto"/>
              <w:rPr>
                <w:b/>
                <w:bCs/>
                <w:sz w:val="24"/>
                <w:szCs w:val="24"/>
              </w:rPr>
            </w:pPr>
          </w:p>
          <w:p w:rsidR="003472B7" w:rsidRPr="00CA534C" w:rsidRDefault="003472B7" w:rsidP="00CA534C">
            <w:pPr>
              <w:spacing w:after="0" w:line="240" w:lineRule="auto"/>
              <w:rPr>
                <w:b/>
                <w:bCs/>
                <w:sz w:val="24"/>
                <w:szCs w:val="24"/>
              </w:rPr>
            </w:pPr>
          </w:p>
          <w:p w:rsidR="003472B7" w:rsidRPr="00CA534C" w:rsidRDefault="003472B7" w:rsidP="00CA534C">
            <w:pPr>
              <w:spacing w:after="0" w:line="240" w:lineRule="auto"/>
              <w:rPr>
                <w:b/>
                <w:bCs/>
                <w:sz w:val="24"/>
                <w:szCs w:val="24"/>
              </w:rPr>
            </w:pPr>
          </w:p>
          <w:p w:rsidR="003472B7" w:rsidRPr="00CA534C" w:rsidRDefault="003472B7" w:rsidP="00CA534C">
            <w:pPr>
              <w:spacing w:after="0" w:line="240" w:lineRule="auto"/>
              <w:rPr>
                <w:b/>
                <w:bCs/>
                <w:sz w:val="24"/>
                <w:szCs w:val="24"/>
              </w:rPr>
            </w:pPr>
          </w:p>
          <w:p w:rsidR="003472B7" w:rsidRPr="00CA534C" w:rsidRDefault="003472B7" w:rsidP="00CA534C">
            <w:pPr>
              <w:spacing w:after="0" w:line="240" w:lineRule="auto"/>
              <w:rPr>
                <w:b/>
                <w:bCs/>
                <w:sz w:val="24"/>
                <w:szCs w:val="24"/>
              </w:rPr>
            </w:pPr>
          </w:p>
          <w:p w:rsidR="003472B7" w:rsidRPr="00CA534C" w:rsidRDefault="003472B7" w:rsidP="00CA534C">
            <w:pPr>
              <w:spacing w:after="0" w:line="240" w:lineRule="auto"/>
              <w:rPr>
                <w:b/>
                <w:bCs/>
                <w:sz w:val="24"/>
                <w:szCs w:val="24"/>
              </w:rPr>
            </w:pPr>
          </w:p>
          <w:p w:rsidR="003472B7" w:rsidRPr="00CA534C" w:rsidRDefault="003472B7" w:rsidP="00CA534C">
            <w:pPr>
              <w:spacing w:after="0" w:line="240" w:lineRule="auto"/>
              <w:rPr>
                <w:b/>
                <w:bCs/>
                <w:sz w:val="24"/>
                <w:szCs w:val="24"/>
              </w:rPr>
            </w:pPr>
          </w:p>
          <w:p w:rsidR="003472B7" w:rsidRPr="00CA534C" w:rsidRDefault="003472B7" w:rsidP="00CA534C">
            <w:pPr>
              <w:spacing w:after="0" w:line="240" w:lineRule="auto"/>
              <w:rPr>
                <w:b/>
                <w:bCs/>
                <w:sz w:val="24"/>
                <w:szCs w:val="24"/>
              </w:rPr>
            </w:pPr>
          </w:p>
          <w:p w:rsidR="003472B7" w:rsidRPr="00CA534C" w:rsidRDefault="003472B7" w:rsidP="00CA534C">
            <w:pPr>
              <w:spacing w:after="0" w:line="240" w:lineRule="auto"/>
              <w:rPr>
                <w:b/>
                <w:bCs/>
                <w:sz w:val="24"/>
                <w:szCs w:val="24"/>
              </w:rPr>
            </w:pPr>
          </w:p>
          <w:p w:rsidR="003472B7" w:rsidRPr="00CA534C" w:rsidRDefault="003472B7" w:rsidP="00CA534C">
            <w:pPr>
              <w:spacing w:after="0" w:line="240" w:lineRule="auto"/>
              <w:rPr>
                <w:b/>
                <w:bCs/>
                <w:sz w:val="24"/>
                <w:szCs w:val="24"/>
              </w:rPr>
            </w:pPr>
          </w:p>
          <w:p w:rsidR="003472B7" w:rsidRPr="00CA534C" w:rsidRDefault="003472B7" w:rsidP="00CA534C">
            <w:pPr>
              <w:spacing w:after="0" w:line="240" w:lineRule="auto"/>
              <w:rPr>
                <w:b/>
                <w:bCs/>
                <w:sz w:val="24"/>
                <w:szCs w:val="24"/>
              </w:rPr>
            </w:pPr>
          </w:p>
          <w:p w:rsidR="003472B7" w:rsidRPr="00CA534C" w:rsidRDefault="003472B7" w:rsidP="00CA534C">
            <w:pPr>
              <w:spacing w:after="0" w:line="240" w:lineRule="auto"/>
              <w:rPr>
                <w:b/>
                <w:bCs/>
                <w:sz w:val="24"/>
                <w:szCs w:val="24"/>
              </w:rPr>
            </w:pPr>
          </w:p>
          <w:p w:rsidR="003472B7" w:rsidRPr="00CA534C" w:rsidRDefault="003472B7" w:rsidP="00CA534C">
            <w:pPr>
              <w:spacing w:after="0" w:line="240" w:lineRule="auto"/>
              <w:rPr>
                <w:b/>
                <w:bCs/>
                <w:sz w:val="24"/>
                <w:szCs w:val="24"/>
              </w:rPr>
            </w:pPr>
            <w:r w:rsidRPr="00CA534C">
              <w:rPr>
                <w:b/>
                <w:bCs/>
                <w:sz w:val="24"/>
                <w:szCs w:val="24"/>
              </w:rPr>
              <w:t>Fonctions de l’agent</w:t>
            </w:r>
          </w:p>
        </w:tc>
        <w:tc>
          <w:tcPr>
            <w:tcW w:w="6142" w:type="dxa"/>
          </w:tcPr>
          <w:p w:rsidR="003472B7" w:rsidRPr="00CA534C" w:rsidRDefault="003472B7" w:rsidP="00CA534C">
            <w:pPr>
              <w:spacing w:after="0" w:line="240" w:lineRule="auto"/>
              <w:jc w:val="both"/>
              <w:rPr>
                <w:b/>
                <w:bCs/>
                <w:lang w:eastAsia="fr-FR"/>
              </w:rPr>
            </w:pPr>
            <w:r w:rsidRPr="00CA534C">
              <w:rPr>
                <w:b/>
                <w:bCs/>
                <w:lang w:eastAsia="fr-FR"/>
              </w:rPr>
              <w:t>* Sur la partie « Ludocorpus » :</w:t>
            </w:r>
          </w:p>
          <w:p w:rsidR="003472B7" w:rsidRPr="00CA534C" w:rsidRDefault="003472B7" w:rsidP="00CA53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color w:val="000000"/>
                <w:lang w:eastAsia="fr-FR"/>
              </w:rPr>
            </w:pPr>
            <w:r w:rsidRPr="00CA534C">
              <w:rPr>
                <w:lang w:eastAsia="fr-FR"/>
              </w:rPr>
              <w:t>- Construction et suivi d’une plateforme numérique</w:t>
            </w:r>
            <w:r w:rsidRPr="00CA534C">
              <w:rPr>
                <w:shd w:val="clear" w:color="auto" w:fill="FFFFFF"/>
                <w:lang w:eastAsia="fr-FR"/>
              </w:rPr>
              <w:t xml:space="preserve">. </w:t>
            </w:r>
            <w:r w:rsidRPr="00CA534C">
              <w:rPr>
                <w:lang w:eastAsia="fr-FR"/>
              </w:rPr>
              <w:t>Numérisation de corpus de textes théoriques et critiques, d’histoire littéraire, d’histoire des sciences dites dures, d’histoire des sciences humaines et sociales, concernant le(s) jeu(x). Ces corpus interdisciplinaires feront l’objet d’une réflexion épistémologique et éthique, leur numérisation sera indissociable d’une réflexion sur les outils d’analyse informatique, ontologies, cartographies, alignement de textes, établissement de topiques argumentatives. Un état de l’art sur la question en termes de bases de données constituera la première étape essentielle du projet. L’agent devra être force de propositions, notamment en établissement plusieurs scénarios de plateforme et aidera à la prise de décision les coordinateurs du GIS</w:t>
            </w:r>
            <w:r w:rsidRPr="00CA534C">
              <w:rPr>
                <w:rFonts w:ascii="Times New Roman" w:hAnsi="Times New Roman" w:cs="Times New Roman"/>
                <w:lang w:eastAsia="fr-FR"/>
              </w:rPr>
              <w:t xml:space="preserve"> </w:t>
            </w:r>
            <w:r w:rsidRPr="00CA534C">
              <w:rPr>
                <w:color w:val="000000"/>
                <w:lang w:eastAsia="fr-FR"/>
              </w:rPr>
              <w:t xml:space="preserve">(D. Desjeux et I. Varescon pour l’université Paris Descartes, E. Belmas </w:t>
            </w:r>
            <w:r>
              <w:rPr>
                <w:color w:val="000000"/>
                <w:lang w:eastAsia="fr-FR"/>
              </w:rPr>
              <w:t xml:space="preserve">et J. Vion-Dury </w:t>
            </w:r>
            <w:r w:rsidRPr="00CA534C">
              <w:rPr>
                <w:color w:val="000000"/>
                <w:lang w:eastAsia="fr-FR"/>
              </w:rPr>
              <w:t>pour l’université Paris 13-SPC et Lucia Romo pour l’université Paris 10 Ouest-Nanterre La Défense</w:t>
            </w:r>
            <w:r w:rsidRPr="00CA534C">
              <w:rPr>
                <w:lang w:eastAsia="fr-FR"/>
              </w:rPr>
              <w:t>)</w:t>
            </w:r>
            <w:r w:rsidRPr="00CA534C">
              <w:rPr>
                <w:color w:val="000000"/>
                <w:lang w:eastAsia="fr-FR"/>
              </w:rPr>
              <w:t xml:space="preserve">. </w:t>
            </w:r>
          </w:p>
          <w:p w:rsidR="003472B7" w:rsidRPr="00CA534C" w:rsidRDefault="003472B7" w:rsidP="00CA534C">
            <w:pPr>
              <w:spacing w:after="0" w:line="240" w:lineRule="auto"/>
              <w:jc w:val="both"/>
              <w:rPr>
                <w:lang w:eastAsia="fr-FR"/>
              </w:rPr>
            </w:pPr>
            <w:r w:rsidRPr="00CA534C">
              <w:rPr>
                <w:lang w:eastAsia="fr-FR"/>
              </w:rPr>
              <w:t>- Rédaction de notices d’introduction et/ou de présentation des travaux déposés sur la plateforme.</w:t>
            </w:r>
          </w:p>
          <w:p w:rsidR="003472B7" w:rsidRPr="00CA534C" w:rsidRDefault="003472B7" w:rsidP="00CA534C">
            <w:pPr>
              <w:spacing w:after="0" w:line="240" w:lineRule="auto"/>
              <w:jc w:val="both"/>
              <w:rPr>
                <w:lang w:eastAsia="fr-FR"/>
              </w:rPr>
            </w:pPr>
            <w:r w:rsidRPr="00CA534C">
              <w:rPr>
                <w:lang w:eastAsia="fr-FR"/>
              </w:rPr>
              <w:t>- Prise de contact avec des institutions, identification des personnes ressources, recherche des sources.</w:t>
            </w:r>
          </w:p>
          <w:p w:rsidR="003472B7" w:rsidRPr="00CA534C" w:rsidRDefault="003472B7" w:rsidP="00CA534C">
            <w:pPr>
              <w:spacing w:after="0" w:line="240" w:lineRule="auto"/>
              <w:jc w:val="both"/>
              <w:rPr>
                <w:lang w:eastAsia="fr-FR"/>
              </w:rPr>
            </w:pPr>
            <w:r w:rsidRPr="00CA534C">
              <w:rPr>
                <w:lang w:eastAsia="fr-FR"/>
              </w:rPr>
              <w:t>- Participation au comité de pilotage et coordination avec partenaires.</w:t>
            </w:r>
          </w:p>
          <w:p w:rsidR="003472B7" w:rsidRPr="00CA534C" w:rsidRDefault="003472B7" w:rsidP="00CA534C">
            <w:pPr>
              <w:spacing w:after="0" w:line="240" w:lineRule="auto"/>
              <w:jc w:val="both"/>
              <w:rPr>
                <w:lang w:eastAsia="fr-FR"/>
              </w:rPr>
            </w:pPr>
          </w:p>
          <w:p w:rsidR="003472B7" w:rsidRPr="00CA534C" w:rsidRDefault="003472B7" w:rsidP="00CA534C">
            <w:pPr>
              <w:spacing w:after="0" w:line="240" w:lineRule="auto"/>
              <w:jc w:val="both"/>
              <w:rPr>
                <w:b/>
                <w:bCs/>
                <w:lang w:eastAsia="fr-FR"/>
              </w:rPr>
            </w:pPr>
            <w:r w:rsidRPr="00CA534C">
              <w:rPr>
                <w:b/>
                <w:bCs/>
                <w:lang w:eastAsia="fr-FR"/>
              </w:rPr>
              <w:t>* Sur la partie « Vie scientifique du GIS » :</w:t>
            </w:r>
          </w:p>
          <w:p w:rsidR="003472B7" w:rsidRPr="00CA534C" w:rsidRDefault="003472B7" w:rsidP="00CA534C">
            <w:pPr>
              <w:spacing w:after="0" w:line="240" w:lineRule="auto"/>
              <w:jc w:val="both"/>
              <w:rPr>
                <w:lang w:eastAsia="fr-FR"/>
              </w:rPr>
            </w:pPr>
            <w:r w:rsidRPr="00CA534C">
              <w:rPr>
                <w:lang w:eastAsia="fr-FR"/>
              </w:rPr>
              <w:t>- Diffusion de l’information sur les événements soutenus par le GIS.</w:t>
            </w:r>
          </w:p>
          <w:p w:rsidR="003472B7" w:rsidRPr="00CA534C" w:rsidRDefault="003472B7" w:rsidP="00CA534C">
            <w:pPr>
              <w:spacing w:after="0" w:line="240" w:lineRule="auto"/>
              <w:jc w:val="both"/>
              <w:rPr>
                <w:lang w:eastAsia="fr-FR"/>
              </w:rPr>
            </w:pPr>
            <w:r>
              <w:rPr>
                <w:lang w:eastAsia="fr-FR"/>
              </w:rPr>
              <w:t xml:space="preserve">- Animation d’un site web  </w:t>
            </w:r>
            <w:r w:rsidRPr="00E57086">
              <w:rPr>
                <w:highlight w:val="magenta"/>
                <w:lang w:eastAsia="fr-FR"/>
              </w:rPr>
              <w:t>(en plus de la base ? Sur 1 année ? Cela me parait très lourd comme travail)</w:t>
            </w:r>
          </w:p>
          <w:p w:rsidR="003472B7" w:rsidRPr="00CA534C" w:rsidRDefault="003472B7" w:rsidP="00CA534C">
            <w:pPr>
              <w:spacing w:after="0" w:line="240" w:lineRule="auto"/>
              <w:jc w:val="both"/>
              <w:rPr>
                <w:lang w:eastAsia="fr-FR"/>
              </w:rPr>
            </w:pPr>
            <w:r w:rsidRPr="00CA534C">
              <w:rPr>
                <w:lang w:eastAsia="fr-FR"/>
              </w:rPr>
              <w:t>- Aide à la rédaction du rapport annuel.</w:t>
            </w:r>
          </w:p>
          <w:p w:rsidR="003472B7" w:rsidRPr="00CA534C" w:rsidRDefault="003472B7" w:rsidP="00CA534C">
            <w:pPr>
              <w:spacing w:after="0" w:line="240" w:lineRule="auto"/>
              <w:jc w:val="both"/>
              <w:rPr>
                <w:lang w:eastAsia="fr-FR"/>
              </w:rPr>
            </w:pPr>
          </w:p>
          <w:p w:rsidR="003472B7" w:rsidRPr="00CA534C" w:rsidRDefault="003472B7" w:rsidP="00CA534C">
            <w:pPr>
              <w:spacing w:after="0" w:line="240" w:lineRule="auto"/>
              <w:jc w:val="both"/>
              <w:rPr>
                <w:b/>
                <w:bCs/>
                <w:lang w:eastAsia="fr-FR"/>
              </w:rPr>
            </w:pPr>
            <w:r w:rsidRPr="00CA534C">
              <w:rPr>
                <w:b/>
                <w:bCs/>
                <w:lang w:eastAsia="fr-FR"/>
              </w:rPr>
              <w:t>* Sur la partie « recherche de l’agent » :</w:t>
            </w:r>
          </w:p>
          <w:p w:rsidR="003472B7" w:rsidRPr="00CA534C" w:rsidRDefault="003472B7" w:rsidP="00CA534C">
            <w:pPr>
              <w:spacing w:after="0" w:line="240" w:lineRule="auto"/>
              <w:jc w:val="both"/>
              <w:rPr>
                <w:lang w:eastAsia="fr-FR"/>
              </w:rPr>
            </w:pPr>
            <w:r w:rsidRPr="00CA534C">
              <w:rPr>
                <w:lang w:eastAsia="fr-FR"/>
              </w:rPr>
              <w:t>- Le/la post-doctorant(e) doit pouvoir poursuivre sa propre recherche, développer ses compétences au travers de ce projet. Le/la candidat(e) doit indiquer comment il/elle envisage d’intégrer sa recherche personnelle au projet.</w:t>
            </w:r>
          </w:p>
          <w:p w:rsidR="003472B7" w:rsidRPr="00CA534C" w:rsidRDefault="003472B7" w:rsidP="00CA534C">
            <w:pPr>
              <w:spacing w:after="0" w:line="240" w:lineRule="auto"/>
              <w:jc w:val="both"/>
              <w:rPr>
                <w:lang w:eastAsia="fr-FR"/>
              </w:rPr>
            </w:pPr>
            <w:r w:rsidRPr="00CA534C">
              <w:rPr>
                <w:lang w:eastAsia="fr-FR"/>
              </w:rPr>
              <w:t>- Participation aux activités de recherche (séminaires, colloques, publications).</w:t>
            </w:r>
          </w:p>
          <w:p w:rsidR="003472B7" w:rsidRPr="00CA534C" w:rsidRDefault="003472B7" w:rsidP="00CA534C">
            <w:pPr>
              <w:spacing w:after="0" w:line="240" w:lineRule="auto"/>
            </w:pPr>
          </w:p>
        </w:tc>
      </w:tr>
      <w:tr w:rsidR="003472B7" w:rsidRPr="00CA534C">
        <w:tc>
          <w:tcPr>
            <w:tcW w:w="3070" w:type="dxa"/>
          </w:tcPr>
          <w:p w:rsidR="003472B7" w:rsidRPr="00CA534C" w:rsidRDefault="003472B7" w:rsidP="00CA534C">
            <w:pPr>
              <w:spacing w:after="0" w:line="240" w:lineRule="auto"/>
            </w:pPr>
          </w:p>
          <w:p w:rsidR="003472B7" w:rsidRPr="00CA534C" w:rsidRDefault="003472B7" w:rsidP="00CA534C">
            <w:pPr>
              <w:spacing w:after="0" w:line="240" w:lineRule="auto"/>
            </w:pPr>
          </w:p>
          <w:p w:rsidR="003472B7" w:rsidRPr="00CA534C" w:rsidRDefault="003472B7" w:rsidP="00CA534C">
            <w:pPr>
              <w:spacing w:after="0" w:line="240" w:lineRule="auto"/>
            </w:pPr>
          </w:p>
          <w:p w:rsidR="003472B7" w:rsidRPr="00CA534C" w:rsidRDefault="003472B7" w:rsidP="00CA534C">
            <w:pPr>
              <w:spacing w:after="0" w:line="240" w:lineRule="auto"/>
            </w:pPr>
          </w:p>
          <w:p w:rsidR="003472B7" w:rsidRPr="00CA534C" w:rsidRDefault="003472B7" w:rsidP="00CA534C">
            <w:pPr>
              <w:spacing w:after="0" w:line="240" w:lineRule="auto"/>
            </w:pPr>
          </w:p>
          <w:p w:rsidR="003472B7" w:rsidRPr="00CA534C" w:rsidRDefault="003472B7" w:rsidP="00CA534C">
            <w:pPr>
              <w:spacing w:after="0" w:line="240" w:lineRule="auto"/>
            </w:pPr>
          </w:p>
          <w:p w:rsidR="003472B7" w:rsidRPr="00CA534C" w:rsidRDefault="003472B7" w:rsidP="00CA534C">
            <w:pPr>
              <w:spacing w:after="0" w:line="240" w:lineRule="auto"/>
              <w:jc w:val="center"/>
              <w:rPr>
                <w:b/>
                <w:bCs/>
                <w:sz w:val="24"/>
                <w:szCs w:val="24"/>
              </w:rPr>
            </w:pPr>
            <w:r w:rsidRPr="00CA534C">
              <w:rPr>
                <w:b/>
                <w:bCs/>
                <w:sz w:val="24"/>
                <w:szCs w:val="24"/>
              </w:rPr>
              <w:t>Compétences et profil</w:t>
            </w:r>
          </w:p>
          <w:p w:rsidR="003472B7" w:rsidRPr="00CA534C" w:rsidRDefault="003472B7" w:rsidP="00CA534C">
            <w:pPr>
              <w:spacing w:after="0" w:line="240" w:lineRule="auto"/>
              <w:jc w:val="center"/>
              <w:rPr>
                <w:b/>
                <w:bCs/>
                <w:sz w:val="24"/>
                <w:szCs w:val="24"/>
              </w:rPr>
            </w:pPr>
            <w:r w:rsidRPr="00CA534C">
              <w:rPr>
                <w:b/>
                <w:bCs/>
                <w:sz w:val="24"/>
                <w:szCs w:val="24"/>
              </w:rPr>
              <w:t>de l’agent</w:t>
            </w:r>
          </w:p>
        </w:tc>
        <w:tc>
          <w:tcPr>
            <w:tcW w:w="6142" w:type="dxa"/>
          </w:tcPr>
          <w:p w:rsidR="003472B7" w:rsidRPr="00CA534C" w:rsidRDefault="003472B7" w:rsidP="00CA53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color w:val="000000"/>
              </w:rPr>
            </w:pPr>
            <w:r w:rsidRPr="00CA534C">
              <w:rPr>
                <w:color w:val="000000"/>
              </w:rPr>
              <w:t xml:space="preserve">- Docteur en SHS, de préférence avec un sujet lié au jeu – Thèse soutenue au plus tard le 30 juin 2014.  </w:t>
            </w:r>
          </w:p>
          <w:p w:rsidR="003472B7" w:rsidRPr="00CA534C" w:rsidRDefault="003472B7" w:rsidP="00CA53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color w:val="000000"/>
              </w:rPr>
            </w:pPr>
            <w:r w:rsidRPr="00CA534C">
              <w:rPr>
                <w:color w:val="000000"/>
              </w:rPr>
              <w:t xml:space="preserve">- très bonnes connaissances et pratiques en informatique : compréhension et maîtrise de plusieurs langages (PHP, MYSQL, OWL, SKOS, etc.), des outils du web sémantique (ontologie, RDF) et des sites web (CSS, XML, HTML). Expériences des CMS et de l’ergonomie pour le web. Connaissance de l’environnement des Humanités numériques (acteurs en France, plateformes existantes). Bonne connaissance des réseaux sociaux. </w:t>
            </w:r>
          </w:p>
          <w:p w:rsidR="003472B7" w:rsidRPr="00CA534C" w:rsidRDefault="003472B7" w:rsidP="00CA53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color w:val="000000"/>
              </w:rPr>
            </w:pPr>
            <w:r w:rsidRPr="00CA534C">
              <w:rPr>
                <w:color w:val="000000"/>
              </w:rPr>
              <w:t>- Rigueur, bonne organisation, autonomie dans la prise de décision et l’agencement des missions, travail en lien direct avec des multi-partenaires/décideurs.</w:t>
            </w:r>
          </w:p>
          <w:p w:rsidR="003472B7" w:rsidRPr="00CA534C" w:rsidRDefault="003472B7" w:rsidP="00CA53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color w:val="000000"/>
              </w:rPr>
            </w:pPr>
            <w:r w:rsidRPr="00CA534C">
              <w:rPr>
                <w:color w:val="000000"/>
              </w:rPr>
              <w:t>- Excellente maîtrise du français et de l’anglais (écrit et parlé)</w:t>
            </w:r>
          </w:p>
          <w:p w:rsidR="003472B7" w:rsidRPr="00CA534C" w:rsidRDefault="003472B7" w:rsidP="00CA534C">
            <w:pPr>
              <w:spacing w:after="0" w:line="240" w:lineRule="auto"/>
            </w:pPr>
          </w:p>
        </w:tc>
      </w:tr>
    </w:tbl>
    <w:p w:rsidR="003472B7" w:rsidRDefault="003472B7" w:rsidP="00C35954">
      <w:pPr>
        <w:pStyle w:val="NoSpacing"/>
        <w:jc w:val="both"/>
      </w:pPr>
    </w:p>
    <w:p w:rsidR="003472B7" w:rsidRPr="00F44681" w:rsidRDefault="003472B7" w:rsidP="00C35954">
      <w:pPr>
        <w:pStyle w:val="NoSpacing"/>
        <w:jc w:val="both"/>
        <w:rPr>
          <w:b/>
          <w:bCs/>
          <w:sz w:val="24"/>
          <w:szCs w:val="24"/>
        </w:rPr>
      </w:pPr>
      <w:r w:rsidRPr="00F44681">
        <w:rPr>
          <w:b/>
          <w:bCs/>
          <w:sz w:val="24"/>
          <w:szCs w:val="24"/>
        </w:rPr>
        <w:t>Les documents à fournir</w:t>
      </w:r>
    </w:p>
    <w:p w:rsidR="003472B7" w:rsidRPr="00F44681" w:rsidRDefault="003472B7" w:rsidP="00C35954">
      <w:pPr>
        <w:pStyle w:val="NoSpacing"/>
        <w:jc w:val="both"/>
      </w:pPr>
      <w:r w:rsidRPr="00F44681">
        <w:t xml:space="preserve">Le dossier de candidature réunit un CV, la copie du diplôme de doctorat, le rapport de soutenance de la thèse, une lettre de motivation et un projet de recherche post-doctoral (1 page). </w:t>
      </w:r>
      <w:r w:rsidRPr="00F44681">
        <w:rPr>
          <w:color w:val="000000"/>
        </w:rPr>
        <w:t>Une publication scientifique en lien avec l’appel candidature serait opportune.</w:t>
      </w:r>
    </w:p>
    <w:p w:rsidR="003472B7" w:rsidRPr="00F44681" w:rsidRDefault="003472B7" w:rsidP="00F44681">
      <w:pPr>
        <w:pStyle w:val="NoSpacing"/>
      </w:pPr>
    </w:p>
    <w:p w:rsidR="003472B7" w:rsidRPr="00F44681" w:rsidRDefault="003472B7" w:rsidP="00F44681">
      <w:pPr>
        <w:pStyle w:val="NoSpacing"/>
        <w:rPr>
          <w:b/>
          <w:bCs/>
          <w:sz w:val="24"/>
          <w:szCs w:val="24"/>
        </w:rPr>
      </w:pPr>
      <w:r w:rsidRPr="00F44681">
        <w:rPr>
          <w:b/>
          <w:bCs/>
          <w:sz w:val="24"/>
          <w:szCs w:val="24"/>
        </w:rPr>
        <w:t>Calendrier de la procédure de recrutement</w:t>
      </w:r>
    </w:p>
    <w:p w:rsidR="003472B7" w:rsidRPr="00F44681" w:rsidRDefault="003472B7" w:rsidP="00F44681">
      <w:pPr>
        <w:pStyle w:val="NoSpacing"/>
        <w:rPr>
          <w:color w:val="000000"/>
        </w:rPr>
      </w:pPr>
      <w:r w:rsidRPr="00F44681">
        <w:rPr>
          <w:color w:val="000000"/>
        </w:rPr>
        <w:t xml:space="preserve">- Date de l’ouverture de l’appel à candidatures : </w:t>
      </w:r>
      <w:r>
        <w:rPr>
          <w:color w:val="000000"/>
        </w:rPr>
        <w:t>1</w:t>
      </w:r>
      <w:r w:rsidRPr="00355ADE">
        <w:rPr>
          <w:color w:val="000000"/>
          <w:vertAlign w:val="superscript"/>
        </w:rPr>
        <w:t>er</w:t>
      </w:r>
      <w:r>
        <w:rPr>
          <w:color w:val="000000"/>
        </w:rPr>
        <w:t xml:space="preserve"> août 2014</w:t>
      </w:r>
    </w:p>
    <w:p w:rsidR="003472B7" w:rsidRPr="00F44681" w:rsidRDefault="003472B7" w:rsidP="00F44681">
      <w:pPr>
        <w:pStyle w:val="NoSpacing"/>
        <w:rPr>
          <w:b/>
          <w:bCs/>
        </w:rPr>
      </w:pPr>
      <w:r w:rsidRPr="00F44681">
        <w:t xml:space="preserve">- Date limite du dépôt du dossier : </w:t>
      </w:r>
      <w:r>
        <w:rPr>
          <w:b/>
          <w:bCs/>
        </w:rPr>
        <w:t>30 septembre 2014</w:t>
      </w:r>
    </w:p>
    <w:p w:rsidR="003472B7" w:rsidRPr="00F44681" w:rsidRDefault="003472B7" w:rsidP="00F44681">
      <w:pPr>
        <w:pStyle w:val="NoSpacing"/>
      </w:pPr>
      <w:r w:rsidRPr="00F44681">
        <w:t>- Date d’audition des candidat(e)s sélectionnés : </w:t>
      </w:r>
      <w:r>
        <w:t>mi-octobre. Le jour et l’heure seront communiqués ultérieurement aux candidat(e)s</w:t>
      </w:r>
    </w:p>
    <w:p w:rsidR="003472B7" w:rsidRPr="00F44681" w:rsidRDefault="003472B7" w:rsidP="00F44681">
      <w:pPr>
        <w:pStyle w:val="NoSpacing"/>
      </w:pPr>
      <w:r w:rsidRPr="00F44681">
        <w:t>- Date d’embauche prévue pour le : </w:t>
      </w:r>
      <w:r>
        <w:t>1</w:t>
      </w:r>
      <w:r w:rsidRPr="00355ADE">
        <w:rPr>
          <w:vertAlign w:val="superscript"/>
        </w:rPr>
        <w:t>er</w:t>
      </w:r>
      <w:r>
        <w:t xml:space="preserve"> novembre 2014</w:t>
      </w:r>
    </w:p>
    <w:p w:rsidR="003472B7" w:rsidRDefault="003472B7" w:rsidP="00F44681">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12"/>
      </w:tblGrid>
      <w:tr w:rsidR="003472B7" w:rsidRPr="00CA534C">
        <w:tc>
          <w:tcPr>
            <w:tcW w:w="9212" w:type="dxa"/>
          </w:tcPr>
          <w:p w:rsidR="003472B7" w:rsidRPr="00CA534C" w:rsidRDefault="003472B7" w:rsidP="00030BF6">
            <w:pPr>
              <w:pStyle w:val="NoSpacing"/>
              <w:jc w:val="both"/>
            </w:pPr>
            <w:r w:rsidRPr="00CA534C">
              <w:t>Dossier de candidature à adresser à : </w:t>
            </w:r>
          </w:p>
          <w:p w:rsidR="003472B7" w:rsidRDefault="003472B7" w:rsidP="00030BF6">
            <w:pPr>
              <w:pStyle w:val="NoSpacing"/>
              <w:jc w:val="both"/>
            </w:pPr>
            <w:hyperlink r:id="rId5" w:history="1">
              <w:r w:rsidRPr="00CA534C">
                <w:rPr>
                  <w:color w:val="0000FF"/>
                  <w:u w:val="single"/>
                  <w:lang w:eastAsia="fr-FR"/>
                </w:rPr>
                <w:t>elisabeth.belmas@wanadoo.fr</w:t>
              </w:r>
            </w:hyperlink>
            <w:r w:rsidRPr="00CA534C">
              <w:rPr>
                <w:color w:val="000000"/>
                <w:lang w:eastAsia="fr-FR"/>
              </w:rPr>
              <w:t xml:space="preserve"> ; </w:t>
            </w:r>
            <w:hyperlink r:id="rId6" w:history="1">
              <w:r w:rsidRPr="00CA534C">
                <w:rPr>
                  <w:color w:val="0000FF"/>
                  <w:u w:val="single"/>
                  <w:lang w:eastAsia="fr-FR"/>
                </w:rPr>
                <w:t>d.desjeux@argonautes.fr</w:t>
              </w:r>
            </w:hyperlink>
            <w:r w:rsidRPr="00CA534C">
              <w:rPr>
                <w:color w:val="000000"/>
                <w:lang w:eastAsia="fr-FR"/>
              </w:rPr>
              <w:t xml:space="preserve"> ; </w:t>
            </w:r>
            <w:hyperlink r:id="rId7" w:history="1">
              <w:r w:rsidRPr="00CA534C">
                <w:rPr>
                  <w:color w:val="0000FF"/>
                  <w:u w:val="single"/>
                  <w:lang w:eastAsia="fr-FR"/>
                </w:rPr>
                <w:t>juliette.viondury@gmail.com</w:t>
              </w:r>
            </w:hyperlink>
            <w:r>
              <w:t xml:space="preserve">; </w:t>
            </w:r>
            <w:hyperlink r:id="rId8" w:history="1">
              <w:r w:rsidRPr="006937AD">
                <w:rPr>
                  <w:rStyle w:val="Hyperlink"/>
                </w:rPr>
                <w:t>juliette.vion-dury@univ-paris13.fr</w:t>
              </w:r>
            </w:hyperlink>
          </w:p>
          <w:p w:rsidR="003472B7" w:rsidRPr="00CA534C" w:rsidRDefault="003472B7" w:rsidP="00CA534C">
            <w:pPr>
              <w:pStyle w:val="NoSpacing"/>
              <w:jc w:val="both"/>
            </w:pPr>
          </w:p>
          <w:p w:rsidR="003472B7" w:rsidRPr="00CA534C" w:rsidRDefault="003472B7" w:rsidP="00CA534C">
            <w:pPr>
              <w:pStyle w:val="NoSpacing"/>
              <w:jc w:val="both"/>
            </w:pPr>
            <w:r w:rsidRPr="00CA534C">
              <w:t xml:space="preserve">Pour toute demande d’information complémentaire, des membres du GIS « Jeu et sociétés » peuvent être contactés : </w:t>
            </w:r>
          </w:p>
          <w:p w:rsidR="003472B7" w:rsidRDefault="003472B7" w:rsidP="00CA534C">
            <w:pPr>
              <w:pStyle w:val="NoSpacing"/>
              <w:jc w:val="both"/>
            </w:pPr>
            <w:hyperlink r:id="rId9" w:history="1">
              <w:r w:rsidRPr="00CA534C">
                <w:rPr>
                  <w:color w:val="0000FF"/>
                  <w:u w:val="single"/>
                  <w:lang w:eastAsia="fr-FR"/>
                </w:rPr>
                <w:t>elisabeth.belmas@wanadoo.fr</w:t>
              </w:r>
            </w:hyperlink>
            <w:r w:rsidRPr="00CA534C">
              <w:rPr>
                <w:color w:val="000000"/>
                <w:lang w:eastAsia="fr-FR"/>
              </w:rPr>
              <w:t xml:space="preserve"> ; </w:t>
            </w:r>
            <w:hyperlink r:id="rId10" w:history="1">
              <w:r w:rsidRPr="00CA534C">
                <w:rPr>
                  <w:color w:val="0000FF"/>
                  <w:u w:val="single"/>
                  <w:lang w:eastAsia="fr-FR"/>
                </w:rPr>
                <w:t>d.desjeux@argonautes.fr</w:t>
              </w:r>
            </w:hyperlink>
            <w:r w:rsidRPr="00CA534C">
              <w:rPr>
                <w:color w:val="000000"/>
                <w:lang w:eastAsia="fr-FR"/>
              </w:rPr>
              <w:t xml:space="preserve"> ; </w:t>
            </w:r>
            <w:hyperlink r:id="rId11" w:history="1">
              <w:r w:rsidRPr="00CA534C">
                <w:rPr>
                  <w:color w:val="0000FF"/>
                  <w:u w:val="single"/>
                  <w:lang w:eastAsia="fr-FR"/>
                </w:rPr>
                <w:t>juliette.viondury@gmail.com</w:t>
              </w:r>
            </w:hyperlink>
            <w:r>
              <w:t xml:space="preserve">; </w:t>
            </w:r>
            <w:hyperlink r:id="rId12" w:history="1">
              <w:r w:rsidRPr="006937AD">
                <w:rPr>
                  <w:rStyle w:val="Hyperlink"/>
                </w:rPr>
                <w:t>juliette.vion-dury@univ-paris13.fr</w:t>
              </w:r>
            </w:hyperlink>
          </w:p>
          <w:p w:rsidR="003472B7" w:rsidRPr="00CA534C" w:rsidRDefault="003472B7" w:rsidP="00CA534C">
            <w:pPr>
              <w:pStyle w:val="NoSpacing"/>
              <w:jc w:val="both"/>
            </w:pPr>
          </w:p>
          <w:p w:rsidR="003472B7" w:rsidRPr="00CA534C" w:rsidRDefault="003472B7" w:rsidP="00F44681">
            <w:pPr>
              <w:pStyle w:val="NoSpacing"/>
            </w:pPr>
          </w:p>
        </w:tc>
      </w:tr>
    </w:tbl>
    <w:p w:rsidR="003472B7" w:rsidRDefault="003472B7" w:rsidP="00F44681">
      <w:pPr>
        <w:pStyle w:val="NoSpacing"/>
      </w:pPr>
    </w:p>
    <w:p w:rsidR="003472B7" w:rsidRDefault="003472B7" w:rsidP="00F44681">
      <w:pPr>
        <w:pStyle w:val="NoSpacing"/>
      </w:pPr>
    </w:p>
    <w:p w:rsidR="003472B7" w:rsidRDefault="003472B7" w:rsidP="00F44681">
      <w:pPr>
        <w:pStyle w:val="NoSpacing"/>
      </w:pPr>
    </w:p>
    <w:p w:rsidR="003472B7" w:rsidRDefault="003472B7" w:rsidP="00F44681">
      <w:pPr>
        <w:pStyle w:val="NoSpacing"/>
      </w:pPr>
    </w:p>
    <w:p w:rsidR="003472B7" w:rsidRDefault="003472B7" w:rsidP="00F44681">
      <w:pPr>
        <w:pStyle w:val="NoSpacing"/>
      </w:pPr>
    </w:p>
    <w:p w:rsidR="003472B7" w:rsidRDefault="003472B7" w:rsidP="00F44681">
      <w:pPr>
        <w:pStyle w:val="NoSpacing"/>
      </w:pPr>
    </w:p>
    <w:p w:rsidR="003472B7" w:rsidRDefault="003472B7" w:rsidP="00F44681">
      <w:pPr>
        <w:pStyle w:val="NoSpacing"/>
      </w:pPr>
    </w:p>
    <w:p w:rsidR="003472B7" w:rsidRDefault="003472B7" w:rsidP="00F44681">
      <w:pPr>
        <w:pStyle w:val="NoSpacing"/>
      </w:pPr>
    </w:p>
    <w:p w:rsidR="003472B7" w:rsidRDefault="003472B7" w:rsidP="00F44681">
      <w:pPr>
        <w:pStyle w:val="NoSpacing"/>
      </w:pPr>
    </w:p>
    <w:p w:rsidR="003472B7" w:rsidRDefault="003472B7" w:rsidP="00F44681">
      <w:pPr>
        <w:pStyle w:val="NoSpacing"/>
      </w:pPr>
    </w:p>
    <w:p w:rsidR="003472B7" w:rsidRDefault="003472B7" w:rsidP="00F44681">
      <w:pPr>
        <w:pStyle w:val="NoSpacing"/>
      </w:pPr>
    </w:p>
    <w:p w:rsidR="003472B7" w:rsidRPr="00F44681" w:rsidRDefault="003472B7" w:rsidP="00F44681">
      <w:pPr>
        <w:pStyle w:val="NoSpacing"/>
      </w:pPr>
      <w:bookmarkStart w:id="0" w:name="_GoBack"/>
      <w:bookmarkEnd w:id="0"/>
    </w:p>
    <w:p w:rsidR="003472B7" w:rsidRPr="00F44681" w:rsidRDefault="003472B7" w:rsidP="00F44681">
      <w:pPr>
        <w:pStyle w:val="NoSpacing"/>
      </w:pPr>
    </w:p>
    <w:p w:rsidR="003472B7" w:rsidRDefault="003472B7" w:rsidP="00333D10">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i1025" type="#_x0000_t75" style="width:90pt;height:43.5pt;visibility:visible">
            <v:imagedata r:id="rId13" o:title=""/>
          </v:shape>
        </w:pict>
      </w:r>
      <w:r>
        <w:tab/>
      </w:r>
      <w:r>
        <w:rPr>
          <w:noProof/>
          <w:lang w:eastAsia="fr-FR"/>
        </w:rPr>
        <w:pict>
          <v:shape id="Image 5" o:spid="_x0000_i1026" type="#_x0000_t75" style="width:113.25pt;height:35.25pt;visibility:visible">
            <v:imagedata r:id="rId14" o:title=""/>
          </v:shape>
        </w:pict>
      </w:r>
      <w:r>
        <w:tab/>
      </w:r>
      <w:r>
        <w:rPr>
          <w:noProof/>
          <w:lang w:eastAsia="fr-FR"/>
        </w:rPr>
        <w:pict>
          <v:shape id="Image 6" o:spid="_x0000_i1027" type="#_x0000_t75" style="width:96.75pt;height:25.5pt;visibility:visible">
            <v:imagedata r:id="rId15" o:title=""/>
          </v:shape>
        </w:pict>
      </w:r>
      <w:r>
        <w:tab/>
      </w:r>
      <w:r>
        <w:rPr>
          <w:noProof/>
          <w:lang w:eastAsia="fr-FR"/>
        </w:rPr>
        <w:pict>
          <v:shape id="Image 7" o:spid="_x0000_i1028" type="#_x0000_t75" style="width:67.5pt;height:26.25pt;visibility:visible">
            <v:imagedata r:id="rId16" o:title=""/>
          </v:shape>
        </w:pict>
      </w:r>
    </w:p>
    <w:p w:rsidR="003472B7" w:rsidRPr="00333D10" w:rsidRDefault="003472B7" w:rsidP="00333D10"/>
    <w:sectPr w:rsidR="003472B7" w:rsidRPr="00333D10" w:rsidSect="00670B2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MS Mincho">
    <w:altName w:val="?l?r ??fc"/>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9F3316"/>
    <w:multiLevelType w:val="hybridMultilevel"/>
    <w:tmpl w:val="330A556E"/>
    <w:lvl w:ilvl="0" w:tplc="05584DB0">
      <w:numFmt w:val="bullet"/>
      <w:lvlText w:val="-"/>
      <w:lvlJc w:val="left"/>
      <w:pPr>
        <w:ind w:left="720" w:hanging="360"/>
      </w:pPr>
      <w:rPr>
        <w:rFonts w:ascii="Times New Roman" w:eastAsia="MS Mincho" w:hAnsi="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1">
    <w:nsid w:val="2E180C76"/>
    <w:multiLevelType w:val="hybridMultilevel"/>
    <w:tmpl w:val="00B229C4"/>
    <w:lvl w:ilvl="0" w:tplc="374A6C6C">
      <w:start w:val="1"/>
      <w:numFmt w:val="lowerLetter"/>
      <w:lvlText w:val="%1)"/>
      <w:lvlJc w:val="left"/>
      <w:pPr>
        <w:ind w:left="644" w:hanging="360"/>
      </w:pPr>
    </w:lvl>
    <w:lvl w:ilvl="1" w:tplc="040C0019">
      <w:start w:val="1"/>
      <w:numFmt w:val="lowerLetter"/>
      <w:lvlText w:val="%2."/>
      <w:lvlJc w:val="left"/>
      <w:pPr>
        <w:ind w:left="1364" w:hanging="360"/>
      </w:pPr>
    </w:lvl>
    <w:lvl w:ilvl="2" w:tplc="040C001B">
      <w:start w:val="1"/>
      <w:numFmt w:val="lowerRoman"/>
      <w:lvlText w:val="%3."/>
      <w:lvlJc w:val="right"/>
      <w:pPr>
        <w:ind w:left="2084" w:hanging="180"/>
      </w:pPr>
    </w:lvl>
    <w:lvl w:ilvl="3" w:tplc="040C000F">
      <w:start w:val="1"/>
      <w:numFmt w:val="decimal"/>
      <w:lvlText w:val="%4."/>
      <w:lvlJc w:val="left"/>
      <w:pPr>
        <w:ind w:left="2804" w:hanging="360"/>
      </w:pPr>
    </w:lvl>
    <w:lvl w:ilvl="4" w:tplc="040C0019">
      <w:start w:val="1"/>
      <w:numFmt w:val="lowerLetter"/>
      <w:lvlText w:val="%5."/>
      <w:lvlJc w:val="left"/>
      <w:pPr>
        <w:ind w:left="3524" w:hanging="360"/>
      </w:pPr>
    </w:lvl>
    <w:lvl w:ilvl="5" w:tplc="040C001B">
      <w:start w:val="1"/>
      <w:numFmt w:val="lowerRoman"/>
      <w:lvlText w:val="%6."/>
      <w:lvlJc w:val="right"/>
      <w:pPr>
        <w:ind w:left="4244" w:hanging="180"/>
      </w:pPr>
    </w:lvl>
    <w:lvl w:ilvl="6" w:tplc="040C000F">
      <w:start w:val="1"/>
      <w:numFmt w:val="decimal"/>
      <w:lvlText w:val="%7."/>
      <w:lvlJc w:val="left"/>
      <w:pPr>
        <w:ind w:left="4964" w:hanging="360"/>
      </w:pPr>
    </w:lvl>
    <w:lvl w:ilvl="7" w:tplc="040C0019">
      <w:start w:val="1"/>
      <w:numFmt w:val="lowerLetter"/>
      <w:lvlText w:val="%8."/>
      <w:lvlJc w:val="left"/>
      <w:pPr>
        <w:ind w:left="5684" w:hanging="360"/>
      </w:pPr>
    </w:lvl>
    <w:lvl w:ilvl="8" w:tplc="040C001B">
      <w:start w:val="1"/>
      <w:numFmt w:val="lowerRoman"/>
      <w:lvlText w:val="%9."/>
      <w:lvlJc w:val="right"/>
      <w:pPr>
        <w:ind w:left="6404"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efaultTabStop w:val="708"/>
  <w:hyphenationZone w:val="425"/>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33D10"/>
    <w:rsid w:val="00030BF6"/>
    <w:rsid w:val="000A39F0"/>
    <w:rsid w:val="000E08D1"/>
    <w:rsid w:val="001D5FA5"/>
    <w:rsid w:val="001F2690"/>
    <w:rsid w:val="00210363"/>
    <w:rsid w:val="00213E14"/>
    <w:rsid w:val="00231355"/>
    <w:rsid w:val="00333D10"/>
    <w:rsid w:val="003472B7"/>
    <w:rsid w:val="00355ADE"/>
    <w:rsid w:val="00371714"/>
    <w:rsid w:val="003756D4"/>
    <w:rsid w:val="003C278B"/>
    <w:rsid w:val="00432EF6"/>
    <w:rsid w:val="004A2CB9"/>
    <w:rsid w:val="005A4E80"/>
    <w:rsid w:val="005C0989"/>
    <w:rsid w:val="006654AC"/>
    <w:rsid w:val="00670B22"/>
    <w:rsid w:val="00685019"/>
    <w:rsid w:val="006937AD"/>
    <w:rsid w:val="00715B0E"/>
    <w:rsid w:val="00724AC4"/>
    <w:rsid w:val="0073495B"/>
    <w:rsid w:val="0075305B"/>
    <w:rsid w:val="00810F76"/>
    <w:rsid w:val="00833266"/>
    <w:rsid w:val="00886E42"/>
    <w:rsid w:val="009814C6"/>
    <w:rsid w:val="009D2753"/>
    <w:rsid w:val="00A5370B"/>
    <w:rsid w:val="00A834C7"/>
    <w:rsid w:val="00AB1567"/>
    <w:rsid w:val="00AE4EE2"/>
    <w:rsid w:val="00AE58DE"/>
    <w:rsid w:val="00B27E3D"/>
    <w:rsid w:val="00BD2511"/>
    <w:rsid w:val="00BD330F"/>
    <w:rsid w:val="00BD5271"/>
    <w:rsid w:val="00BE0D88"/>
    <w:rsid w:val="00C35954"/>
    <w:rsid w:val="00CA447A"/>
    <w:rsid w:val="00CA534C"/>
    <w:rsid w:val="00D03568"/>
    <w:rsid w:val="00D9538B"/>
    <w:rsid w:val="00DA7D82"/>
    <w:rsid w:val="00E127F9"/>
    <w:rsid w:val="00E32C1F"/>
    <w:rsid w:val="00E40425"/>
    <w:rsid w:val="00E57086"/>
    <w:rsid w:val="00E77265"/>
    <w:rsid w:val="00ED3EA2"/>
    <w:rsid w:val="00ED4C1B"/>
    <w:rsid w:val="00EF7865"/>
    <w:rsid w:val="00F44681"/>
    <w:rsid w:val="00F82A51"/>
    <w:rsid w:val="00FB3766"/>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B22"/>
    <w:pPr>
      <w:spacing w:after="200" w:line="276" w:lineRule="auto"/>
    </w:pPr>
    <w:rPr>
      <w:rFonts w:cs="Calibri"/>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33D10"/>
    <w:rPr>
      <w:color w:val="0000FF"/>
      <w:u w:val="single"/>
    </w:rPr>
  </w:style>
  <w:style w:type="table" w:styleId="TableGrid">
    <w:name w:val="Table Grid"/>
    <w:basedOn w:val="TableNormal"/>
    <w:uiPriority w:val="99"/>
    <w:rsid w:val="005A4E80"/>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99"/>
    <w:qFormat/>
    <w:rsid w:val="00C35954"/>
    <w:rPr>
      <w:rFonts w:cs="Calibri"/>
      <w:lang w:eastAsia="en-US"/>
    </w:rPr>
  </w:style>
  <w:style w:type="paragraph" w:styleId="ListParagraph">
    <w:name w:val="List Paragraph"/>
    <w:basedOn w:val="Normal"/>
    <w:uiPriority w:val="99"/>
    <w:qFormat/>
    <w:rsid w:val="00F44681"/>
    <w:pPr>
      <w:ind w:left="720"/>
      <w:contextualSpacing/>
    </w:pPr>
    <w:rPr>
      <w:rFonts w:eastAsia="MS Mincho"/>
      <w:lang w:eastAsia="fr-FR"/>
    </w:rPr>
  </w:style>
  <w:style w:type="paragraph" w:styleId="BalloonText">
    <w:name w:val="Balloon Text"/>
    <w:basedOn w:val="Normal"/>
    <w:link w:val="BalloonTextChar"/>
    <w:uiPriority w:val="99"/>
    <w:semiHidden/>
    <w:rsid w:val="00810F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F7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uliette.vion-dury@univ-paris13.fr"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uliette.viondury@gmail.com" TargetMode="External"/><Relationship Id="rId12" Type="http://schemas.openxmlformats.org/officeDocument/2006/relationships/hyperlink" Target="mailto:juliette.vion-dury@univ-paris13.f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hyperlink" Target="mailto:d.desjeux@argonautes.fr" TargetMode="External"/><Relationship Id="rId11" Type="http://schemas.openxmlformats.org/officeDocument/2006/relationships/hyperlink" Target="mailto:juliette.viondury@gmail.com" TargetMode="External"/><Relationship Id="rId5" Type="http://schemas.openxmlformats.org/officeDocument/2006/relationships/hyperlink" Target="mailto:elisabeth.belmas@wanadoo.fr" TargetMode="External"/><Relationship Id="rId15" Type="http://schemas.openxmlformats.org/officeDocument/2006/relationships/image" Target="media/image3.png"/><Relationship Id="rId10" Type="http://schemas.openxmlformats.org/officeDocument/2006/relationships/hyperlink" Target="mailto:d.desjeux@argonautes.fr" TargetMode="External"/><Relationship Id="rId4" Type="http://schemas.openxmlformats.org/officeDocument/2006/relationships/webSettings" Target="webSettings.xml"/><Relationship Id="rId9" Type="http://schemas.openxmlformats.org/officeDocument/2006/relationships/hyperlink" Target="mailto:elisabeth.belmas@wanadoo.fr"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5</TotalTime>
  <Pages>1</Pages>
  <Words>1113</Words>
  <Characters>6122</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INTITULÉ DE POSTE : post-doctorant en LSHS concepteur-coordinateur d’une base de données sur la thématique du jeu</dc:title>
  <dc:subject/>
  <dc:creator>Secrétariat</dc:creator>
  <cp:keywords/>
  <dc:description/>
  <cp:lastModifiedBy>Standard</cp:lastModifiedBy>
  <cp:revision>7</cp:revision>
  <cp:lastPrinted>2014-07-23T09:51:00Z</cp:lastPrinted>
  <dcterms:created xsi:type="dcterms:W3CDTF">2014-07-23T14:12:00Z</dcterms:created>
  <dcterms:modified xsi:type="dcterms:W3CDTF">2014-07-23T14:39:00Z</dcterms:modified>
</cp:coreProperties>
</file>