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Arial" w:cs="Arial" w:eastAsia="Arial" w:hAnsi="Arial"/>
          <w:b/>
          <w:bCs/>
          <w:color w:val="0a2240"/>
          <w:sz w:val="52"/>
          <w:szCs w:val="52"/>
        </w:rPr>
        <w:t xml:space="preserve">Non-Emergency Maintenance</w:t>
      </w:r>
    </w:p>
    <w:p>
      <w:pPr>
        <w:spacing w:after="80" w:before="0"/>
      </w:pPr>
      <w:r>
        <w:rPr>
          <w:rFonts w:ascii="Arial" w:cs="Arial" w:eastAsia="Arial" w:hAnsi="Arial"/>
          <w:color w:val="C69214"/>
          <w:sz w:val="36"/>
          <w:szCs w:val="36"/>
        </w:rPr>
        <w:t xml:space="preserve">Reporting System Overview</w:t>
      </w:r>
    </w:p>
    <w:p>
      <w:pPr>
        <w:spacing w:after="240" w:before="0"/>
      </w:pPr>
      <w:r>
        <w:rPr>
          <w:rFonts w:ascii="Arial" w:cs="Arial" w:eastAsia="Arial" w:hAnsi="Arial"/>
          <w:i/>
          <w:iCs/>
          <w:color w:val="666666"/>
          <w:sz w:val="22"/>
          <w:szCs w:val="22"/>
        </w:rPr>
        <w:t xml:space="preserve">A plain-language overview for Facilities leadership</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C69214" w:val="clear"/>
            <w:tcMar>
              <w:top w:type="dxa" w:w="0"/>
              <w:left w:type="dxa" w:w="0"/>
              <w:bottom w:type="dxa" w:w="0"/>
              <w:right w:type="dxa" w:w="0"/>
            </w:tcMar>
          </w:tcPr>
          <w:p>
            <w:r>
              <w:t xml:space="preserve"/>
            </w:r>
          </w:p>
        </w:tc>
        <w:tc>
          <w:tcPr>
            <w:tcW w:type="dxa" w:w="9200"/>
            <w:tcBorders>
              <w:top w:val="none" w:color="FFFFFF" w:sz="0"/>
              <w:left w:val="none" w:color="FFFFFF" w:sz="0"/>
              <w:bottom w:val="none" w:color="FFFFFF" w:sz="0"/>
              <w:right w:val="none" w:color="FFFFFF" w:sz="0"/>
            </w:tcBorders>
            <w:shd w:fill="EBF2F8" w:val="clear"/>
            <w:tcMar>
              <w:top w:type="dxa" w:w="120"/>
              <w:left w:type="dxa" w:w="180"/>
              <w:bottom w:type="dxa" w:w="120"/>
              <w:right w:type="dxa" w:w="160"/>
            </w:tcMar>
          </w:tcPr>
          <w:p>
            <w:r>
              <w:rPr>
                <w:rFonts w:ascii="Arial" w:cs="Arial" w:eastAsia="Arial" w:hAnsi="Arial"/>
                <w:i/>
                <w:iCs/>
                <w:color w:val="333333"/>
                <w:sz w:val="22"/>
                <w:szCs w:val="22"/>
              </w:rPr>
              <w:t xml:space="preserve">This document describes a new campus-wide system for reporting and tracking non-emergency facilities issues — from a burned-out light to a pothole in a parking lot. The system is operational, costs nothing to run, and uses only tools and platforms already available to UNG.</w:t>
            </w:r>
          </w:p>
        </w:tc>
      </w:tr>
    </w:tbl>
    <w:p>
      <w:pPr>
        <w:spacing w:after="0" w:before="120"/>
      </w:pPr>
      <w:r>
        <w:t xml:space="preserve"/>
      </w:r>
    </w:p>
    <w:p>
      <w:pPr>
        <w:pStyle w:val="Heading1"/>
        <w:pBdr>
          <w:bottom w:val="single" w:color="C69214" w:sz="8" w:space="6"/>
        </w:pBdr>
        <w:spacing w:after="100" w:before="320"/>
      </w:pPr>
      <w:r>
        <w:rPr>
          <w:rFonts w:ascii="Arial" w:cs="Arial" w:eastAsia="Arial" w:hAnsi="Arial"/>
          <w:b/>
          <w:bCs/>
          <w:color w:val="0a2240"/>
          <w:sz w:val="28"/>
          <w:szCs w:val="28"/>
        </w:rPr>
        <w:t xml:space="preserve">What the System Does</w:t>
      </w:r>
    </w:p>
    <w:p>
      <w:pPr>
        <w:spacing w:after="80" w:before="80"/>
      </w:pPr>
      <w:r>
        <w:rPr>
          <w:rFonts w:ascii="Arial" w:cs="Arial" w:eastAsia="Arial" w:hAnsi="Arial"/>
          <w:color w:val="333333"/>
          <w:sz w:val="22"/>
          <w:szCs w:val="22"/>
        </w:rPr>
        <w:t xml:space="preserve">Anyone on a UNG campus — student, faculty, staff, or visitor — can report a non-emergency facilities problem using their smartphone. They describe the issue, take a photo, and submit. Within minutes, a Facilities staff member receives an email with the details and a link to a map showing exactly where the problem is located.</w:t>
      </w:r>
    </w:p>
    <w:p>
      <w:pPr>
        <w:spacing w:after="80" w:before="80"/>
      </w:pPr>
      <w:r>
        <w:rPr>
          <w:rFonts w:ascii="Arial" w:cs="Arial" w:eastAsia="Arial" w:hAnsi="Arial"/>
          <w:color w:val="333333"/>
          <w:sz w:val="22"/>
          <w:szCs w:val="22"/>
        </w:rPr>
        <w:t xml:space="preserve">When the issue is resolved, staff mark it as resolved in the system and it disappears from the map. No paper forms. No phone calls to track down. No lost reports.</w:t>
      </w:r>
    </w:p>
    <w:p>
      <w:pPr>
        <w:spacing w:after="0" w:before="60"/>
      </w:pPr>
      <w:r>
        <w:t xml:space="preserve"/>
      </w:r>
    </w:p>
    <w:p>
      <w:pPr>
        <w:pStyle w:val="Heading1"/>
        <w:pBdr>
          <w:bottom w:val="single" w:color="C69214" w:sz="8" w:space="6"/>
        </w:pBdr>
        <w:spacing w:after="100" w:before="320"/>
      </w:pPr>
      <w:r>
        <w:rPr>
          <w:rFonts w:ascii="Arial" w:cs="Arial" w:eastAsia="Arial" w:hAnsi="Arial"/>
          <w:b/>
          <w:bCs/>
          <w:color w:val="0a2240"/>
          <w:sz w:val="28"/>
          <w:szCs w:val="28"/>
        </w:rPr>
        <w:t xml:space="preserve">The Three Components</w:t>
      </w:r>
    </w:p>
    <w:p>
      <w:pPr>
        <w:pStyle w:val="Heading2"/>
        <w:spacing w:after="80" w:before="200"/>
      </w:pPr>
      <w:r>
        <w:rPr>
          <w:rFonts w:ascii="Arial" w:cs="Arial" w:eastAsia="Arial" w:hAnsi="Arial"/>
          <w:b/>
          <w:bCs/>
          <w:color w:val="0a2240"/>
          <w:sz w:val="24"/>
          <w:szCs w:val="24"/>
        </w:rPr>
        <w:t xml:space="preserve">1. Survey123 — The Reporting Form</w:t>
      </w:r>
    </w:p>
    <w:p>
      <w:pPr>
        <w:spacing w:after="80" w:before="80"/>
      </w:pPr>
      <w:r>
        <w:rPr>
          <w:rFonts w:ascii="Arial" w:cs="Arial" w:eastAsia="Arial" w:hAnsi="Arial"/>
          <w:color w:val="333333"/>
          <w:sz w:val="22"/>
          <w:szCs w:val="22"/>
        </w:rPr>
        <w:t xml:space="preserve">Survey123 is Esri's mobile form platform, part of the ArcGIS suite that UNG already licenses through the IESA enterprise agreement. UNG Facilities already uses ArcGIS for campus mapping — Survey123 is part of that same license at no additional cost.</w:t>
      </w:r>
    </w:p>
    <w:p>
      <w:pPr>
        <w:spacing w:after="80" w:before="80"/>
      </w:pPr>
      <w:r>
        <w:rPr>
          <w:rFonts w:ascii="Arial" w:cs="Arial" w:eastAsia="Arial" w:hAnsi="Arial"/>
          <w:color w:val="333333"/>
          <w:sz w:val="22"/>
          <w:szCs w:val="22"/>
        </w:rPr>
        <w:t xml:space="preserve">The UNG Facilities Issue Reporting form collects:</w:t>
      </w:r>
    </w:p>
    <w:p>
      <w:pPr>
        <w:pStyle w:val="ListParagraph"/>
        <w:numPr>
          <w:ilvl w:val="0"/>
          <w:numId w:val="2"/>
        </w:numPr>
        <w:spacing w:after="60" w:before="60"/>
      </w:pPr>
      <w:r>
        <w:rPr>
          <w:rFonts w:ascii="Arial" w:cs="Arial" w:eastAsia="Arial" w:hAnsi="Arial"/>
          <w:color w:val="333333"/>
          <w:sz w:val="22"/>
          <w:szCs w:val="22"/>
        </w:rPr>
        <w:t xml:space="preserve">Campus location</w:t>
      </w:r>
    </w:p>
    <w:p>
      <w:pPr>
        <w:pStyle w:val="ListParagraph"/>
        <w:numPr>
          <w:ilvl w:val="0"/>
          <w:numId w:val="2"/>
        </w:numPr>
        <w:spacing w:after="60" w:before="60"/>
      </w:pPr>
      <w:r>
        <w:rPr>
          <w:rFonts w:ascii="Arial" w:cs="Arial" w:eastAsia="Arial" w:hAnsi="Arial"/>
          <w:color w:val="333333"/>
          <w:sz w:val="22"/>
          <w:szCs w:val="22"/>
        </w:rPr>
        <w:t xml:space="preserve">Type of issue — Landscape, Lighting, Roads, Safety, Sidewalks, Signage, Waste, Wildlife, or Other</w:t>
      </w:r>
    </w:p>
    <w:p>
      <w:pPr>
        <w:pStyle w:val="ListParagraph"/>
        <w:numPr>
          <w:ilvl w:val="0"/>
          <w:numId w:val="2"/>
        </w:numPr>
        <w:spacing w:after="60" w:before="60"/>
      </w:pPr>
      <w:r>
        <w:rPr>
          <w:rFonts w:ascii="Arial" w:cs="Arial" w:eastAsia="Arial" w:hAnsi="Arial"/>
          <w:color w:val="333333"/>
          <w:sz w:val="22"/>
          <w:szCs w:val="22"/>
        </w:rPr>
        <w:t xml:space="preserve">Written description of the problem and its location</w:t>
      </w:r>
    </w:p>
    <w:p>
      <w:pPr>
        <w:pStyle w:val="ListParagraph"/>
        <w:numPr>
          <w:ilvl w:val="0"/>
          <w:numId w:val="2"/>
        </w:numPr>
        <w:spacing w:after="60" w:before="60"/>
      </w:pPr>
      <w:r>
        <w:rPr>
          <w:rFonts w:ascii="Arial" w:cs="Arial" w:eastAsia="Arial" w:hAnsi="Arial"/>
          <w:color w:val="333333"/>
          <w:sz w:val="22"/>
          <w:szCs w:val="22"/>
        </w:rPr>
        <w:t xml:space="preserve">One or more photos of the issue (optional but encouraged)</w:t>
      </w:r>
    </w:p>
    <w:p>
      <w:pPr>
        <w:spacing w:after="80" w:before="80"/>
      </w:pPr>
      <w:r>
        <w:rPr>
          <w:rFonts w:ascii="Arial" w:cs="Arial" w:eastAsia="Arial" w:hAnsi="Arial"/>
          <w:color w:val="333333"/>
          <w:sz w:val="22"/>
          <w:szCs w:val="22"/>
        </w:rPr>
        <w:t xml:space="preserve">The form is accessible from any smartphone browser — no app download required. It is linked directly from the campus QR waypoint signs so anyone scanning a sign can report an issue in seconds.</w:t>
      </w:r>
    </w:p>
    <w:p>
      <w:pPr>
        <w:spacing w:after="0" w:before="80"/>
      </w:pPr>
      <w:r>
        <w:t xml:space="preserve"/>
      </w:r>
    </w:p>
    <w:p>
      <w:pPr>
        <w:pStyle w:val="Heading2"/>
        <w:spacing w:after="80" w:before="200"/>
      </w:pPr>
      <w:r>
        <w:rPr>
          <w:rFonts w:ascii="Arial" w:cs="Arial" w:eastAsia="Arial" w:hAnsi="Arial"/>
          <w:b/>
          <w:bCs/>
          <w:color w:val="0a2240"/>
          <w:sz w:val="24"/>
          <w:szCs w:val="24"/>
        </w:rPr>
        <w:t xml:space="preserve">2. Power Automate — The Notification</w:t>
      </w:r>
    </w:p>
    <w:p>
      <w:pPr>
        <w:spacing w:after="80" w:before="80"/>
      </w:pPr>
      <w:r>
        <w:rPr>
          <w:rFonts w:ascii="Arial" w:cs="Arial" w:eastAsia="Arial" w:hAnsi="Arial"/>
          <w:color w:val="333333"/>
          <w:sz w:val="22"/>
          <w:szCs w:val="22"/>
        </w:rPr>
        <w:t xml:space="preserve">Power Automate is Microsoft's workflow automation tool, part of UNG's existing Microsoft 365 license. When a form is submitted, Power Automate automatically sends an email notification to designated Facilities staff. The email contains:</w:t>
      </w:r>
    </w:p>
    <w:p>
      <w:pPr>
        <w:pStyle w:val="ListParagraph"/>
        <w:numPr>
          <w:ilvl w:val="0"/>
          <w:numId w:val="2"/>
        </w:numPr>
        <w:spacing w:after="60" w:before="60"/>
      </w:pPr>
      <w:r>
        <w:rPr>
          <w:rFonts w:ascii="Arial" w:cs="Arial" w:eastAsia="Arial" w:hAnsi="Arial"/>
          <w:color w:val="333333"/>
          <w:sz w:val="22"/>
          <w:szCs w:val="22"/>
        </w:rPr>
        <w:t xml:space="preserve">Campus, issue type, and description from the form</w:t>
      </w:r>
    </w:p>
    <w:p>
      <w:pPr>
        <w:pStyle w:val="ListParagraph"/>
        <w:numPr>
          <w:ilvl w:val="0"/>
          <w:numId w:val="2"/>
        </w:numPr>
        <w:spacing w:after="60" w:before="60"/>
      </w:pPr>
      <w:r>
        <w:rPr>
          <w:rFonts w:ascii="Arial" w:cs="Arial" w:eastAsia="Arial" w:hAnsi="Arial"/>
          <w:color w:val="333333"/>
          <w:sz w:val="22"/>
          <w:szCs w:val="22"/>
        </w:rPr>
        <w:t xml:space="preserve">Contact information of the person who reported it</w:t>
      </w:r>
    </w:p>
    <w:p>
      <w:pPr>
        <w:pStyle w:val="ListParagraph"/>
        <w:numPr>
          <w:ilvl w:val="0"/>
          <w:numId w:val="2"/>
        </w:numPr>
        <w:spacing w:after="60" w:before="60"/>
      </w:pPr>
      <w:r>
        <w:rPr>
          <w:rFonts w:ascii="Arial" w:cs="Arial" w:eastAsia="Arial" w:hAnsi="Arial"/>
          <w:color w:val="333333"/>
          <w:sz w:val="22"/>
          <w:szCs w:val="22"/>
        </w:rPr>
        <w:t xml:space="preserve">A direct link to the map showing the exact reported location</w:t>
      </w:r>
    </w:p>
    <w:p>
      <w:pPr>
        <w:spacing w:after="80" w:before="80"/>
      </w:pPr>
      <w:r>
        <w:rPr>
          <w:rFonts w:ascii="Arial" w:cs="Arial" w:eastAsia="Arial" w:hAnsi="Arial"/>
          <w:color w:val="333333"/>
          <w:sz w:val="22"/>
          <w:szCs w:val="22"/>
        </w:rPr>
        <w:t xml:space="preserve">This means Facilities staff do not need to log into any system to know a report has come in — the information comes directly to their inbox.</w:t>
      </w:r>
    </w:p>
    <w:p>
      <w:pPr>
        <w:spacing w:after="0" w:before="80"/>
      </w:pPr>
      <w:r>
        <w:t xml:space="preserve"/>
      </w:r>
    </w:p>
    <w:p>
      <w:pPr>
        <w:pStyle w:val="Heading2"/>
        <w:spacing w:after="80" w:before="200"/>
      </w:pPr>
      <w:r>
        <w:rPr>
          <w:rFonts w:ascii="Arial" w:cs="Arial" w:eastAsia="Arial" w:hAnsi="Arial"/>
          <w:b/>
          <w:bCs/>
          <w:color w:val="0a2240"/>
          <w:sz w:val="24"/>
          <w:szCs w:val="24"/>
        </w:rPr>
        <w:t xml:space="preserve">3. The Facilities Issue Map — The Visual Dashboard</w:t>
      </w:r>
    </w:p>
    <w:p>
      <w:pPr>
        <w:spacing w:after="80" w:before="80"/>
      </w:pPr>
      <w:r>
        <w:rPr>
          <w:rFonts w:ascii="Arial" w:cs="Arial" w:eastAsia="Arial" w:hAnsi="Arial"/>
          <w:color w:val="333333"/>
          <w:sz w:val="22"/>
          <w:szCs w:val="22"/>
        </w:rPr>
        <w:t xml:space="preserve">The Facilities Issue Map is a web-based map, accessible from any browser, that displays all currently open issue reports as markers on an interactive campus map. Markers are color-coded by issue type. Clicking a marker shows the full report details including photos.</w:t>
      </w:r>
    </w:p>
    <w:p>
      <w:pPr>
        <w:spacing w:after="80" w:before="80"/>
      </w:pPr>
      <w:r>
        <w:rPr>
          <w:rFonts w:ascii="Arial" w:cs="Arial" w:eastAsia="Arial" w:hAnsi="Arial"/>
          <w:color w:val="333333"/>
          <w:sz w:val="22"/>
          <w:szCs w:val="22"/>
        </w:rPr>
        <w:t xml:space="preserve">The map is live — it reflects the current state of all open reports at any time. When a staff member marks a report as resolved, the marker disappears from the map automatically.</w:t>
      </w:r>
    </w:p>
    <w:p>
      <w:pPr>
        <w:spacing w:after="80" w:before="80"/>
      </w:pPr>
      <w:r>
        <w:rPr>
          <w:rFonts w:ascii="Arial" w:cs="Arial" w:eastAsia="Arial" w:hAnsi="Arial"/>
          <w:color w:val="333333"/>
          <w:sz w:val="22"/>
          <w:szCs w:val="22"/>
        </w:rPr>
        <w:t xml:space="preserve">The map is accessible at:</w:t>
      </w:r>
    </w:p>
    <w:p>
      <w:pPr>
        <w:spacing w:after="80" w:before="80"/>
      </w:pPr>
      <w:r>
        <w:rPr>
          <w:rFonts w:ascii="Courier New" w:cs="Courier New" w:eastAsia="Courier New" w:hAnsi="Courier New"/>
          <w:color w:val="0a2240"/>
          <w:sz w:val="20"/>
          <w:szCs w:val="20"/>
        </w:rPr>
        <w:t xml:space="preserve">unggis.github.io/ung-facilities-maps/maintenance_issue/</w:t>
      </w:r>
    </w:p>
    <w:p>
      <w:pPr>
        <w:spacing w:after="0" w:before="120"/>
      </w:pPr>
      <w:r>
        <w:t xml:space="preserve"/>
      </w:r>
    </w:p>
    <w:p>
      <w:pPr>
        <w:pStyle w:val="Heading1"/>
        <w:pBdr>
          <w:bottom w:val="single" w:color="C69214" w:sz="8" w:space="6"/>
        </w:pBdr>
        <w:spacing w:after="100" w:before="320"/>
      </w:pPr>
      <w:r>
        <w:rPr>
          <w:rFonts w:ascii="Arial" w:cs="Arial" w:eastAsia="Arial" w:hAnsi="Arial"/>
          <w:b/>
          <w:bCs/>
          <w:color w:val="0a2240"/>
          <w:sz w:val="28"/>
          <w:szCs w:val="28"/>
        </w:rPr>
        <w:t xml:space="preserve">How It Works — Step by Step</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800"/>
        <w:gridCol w:w="7080"/>
      </w:tblGrid>
      <w:tr>
        <w:tc>
          <w:tcPr>
            <w:tcW w:type="dxa" w:w="480"/>
            <w:tcBorders>
              <w:top w:val="none" w:color="FFFFFF" w:sz="0"/>
              <w:left w:val="none" w:color="FFFFFF" w:sz="0"/>
              <w:bottom w:val="none" w:color="FFFFFF" w:sz="0"/>
              <w:right w:val="none" w:color="FFFFFF" w:sz="0"/>
            </w:tcBorders>
            <w:shd w:fill="0a2240" w:val="clear"/>
            <w:tcMar>
              <w:top w:type="dxa" w:w="80"/>
              <w:left w:type="dxa" w:w="120"/>
              <w:bottom w:type="dxa" w:w="80"/>
              <w:right w:type="dxa" w:w="120"/>
            </w:tcMar>
          </w:tcPr>
          <w:p>
            <w:pPr>
              <w:jc w:val="center"/>
            </w:pPr>
            <w:r>
              <w:rPr>
                <w:rFonts w:ascii="Arial" w:cs="Arial" w:eastAsia="Arial" w:hAnsi="Arial"/>
                <w:b/>
                <w:bCs/>
                <w:color w:val="C69214"/>
                <w:sz w:val="22"/>
                <w:szCs w:val="22"/>
              </w:rPr>
              <w:t xml:space="preserve">1</w:t>
            </w:r>
          </w:p>
        </w:tc>
        <w:tc>
          <w:tcPr>
            <w:tcW w:type="dxa" w:w="1800"/>
            <w:tcBorders>
              <w:top w:val="none" w:color="FFFFFF" w:sz="0"/>
              <w:left w:val="none" w:color="FFFFFF" w:sz="0"/>
              <w:bottom w:val="none" w:color="FFFFFF" w:sz="0"/>
              <w:right w:val="none" w:color="FFFFFF" w:sz="0"/>
            </w:tcBorders>
            <w:shd w:fill="F4F6F9" w:val="clear"/>
            <w:tcMar>
              <w:top w:type="dxa" w:w="80"/>
              <w:left w:type="dxa" w:w="120"/>
              <w:bottom w:type="dxa" w:w="80"/>
              <w:right w:type="dxa" w:w="120"/>
            </w:tcMar>
          </w:tcPr>
          <w:p>
            <w:r>
              <w:rPr>
                <w:rFonts w:ascii="Arial" w:cs="Arial" w:eastAsia="Arial" w:hAnsi="Arial"/>
                <w:b/>
                <w:bCs/>
                <w:color w:val="0a2240"/>
                <w:sz w:val="22"/>
                <w:szCs w:val="22"/>
              </w:rPr>
              <w:t xml:space="preserve">Issue Observed</w:t>
            </w:r>
          </w:p>
        </w:tc>
        <w:tc>
          <w:tcPr>
            <w:tcW w:type="dxa" w:w="708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555555"/>
                <w:sz w:val="22"/>
                <w:szCs w:val="22"/>
              </w:rPr>
              <w:t xml:space="preserve">Someone notices a problem on campus — a pothole, a broken light, overgrown landscaping.</w:t>
            </w:r>
          </w:p>
        </w:tc>
      </w:tr>
      <w:tr>
        <w:tc>
          <w:tcPr>
            <w:tcW w:type="dxa" w:w="480"/>
            <w:tcBorders>
              <w:top w:val="none" w:color="FFFFFF" w:sz="0"/>
              <w:left w:val="none" w:color="FFFFFF" w:sz="0"/>
              <w:bottom w:val="none" w:color="FFFFFF" w:sz="0"/>
              <w:right w:val="none" w:color="FFFFFF" w:sz="0"/>
            </w:tcBorders>
            <w:shd w:fill="0a2240" w:val="clear"/>
            <w:tcMar>
              <w:top w:type="dxa" w:w="80"/>
              <w:left w:type="dxa" w:w="120"/>
              <w:bottom w:type="dxa" w:w="80"/>
              <w:right w:type="dxa" w:w="120"/>
            </w:tcMar>
          </w:tcPr>
          <w:p>
            <w:pPr>
              <w:jc w:val="center"/>
            </w:pPr>
            <w:r>
              <w:rPr>
                <w:rFonts w:ascii="Arial" w:cs="Arial" w:eastAsia="Arial" w:hAnsi="Arial"/>
                <w:b/>
                <w:bCs/>
                <w:color w:val="C69214"/>
                <w:sz w:val="22"/>
                <w:szCs w:val="22"/>
              </w:rPr>
              <w:t xml:space="preserve">2</w:t>
            </w:r>
          </w:p>
        </w:tc>
        <w:tc>
          <w:tcPr>
            <w:tcW w:type="dxa" w:w="1800"/>
            <w:tcBorders>
              <w:top w:val="none" w:color="FFFFFF" w:sz="0"/>
              <w:left w:val="none" w:color="FFFFFF" w:sz="0"/>
              <w:bottom w:val="none" w:color="FFFFFF" w:sz="0"/>
              <w:right w:val="none" w:color="FFFFFF" w:sz="0"/>
            </w:tcBorders>
            <w:shd w:fill="F4F6F9" w:val="clear"/>
            <w:tcMar>
              <w:top w:type="dxa" w:w="80"/>
              <w:left w:type="dxa" w:w="120"/>
              <w:bottom w:type="dxa" w:w="80"/>
              <w:right w:type="dxa" w:w="120"/>
            </w:tcMar>
          </w:tcPr>
          <w:p>
            <w:r>
              <w:rPr>
                <w:rFonts w:ascii="Arial" w:cs="Arial" w:eastAsia="Arial" w:hAnsi="Arial"/>
                <w:b/>
                <w:bCs/>
                <w:color w:val="0a2240"/>
                <w:sz w:val="22"/>
                <w:szCs w:val="22"/>
              </w:rPr>
              <w:t xml:space="preserve">QR Code Scanned</w:t>
            </w:r>
          </w:p>
        </w:tc>
        <w:tc>
          <w:tcPr>
            <w:tcW w:type="dxa" w:w="708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555555"/>
                <w:sz w:val="22"/>
                <w:szCs w:val="22"/>
              </w:rPr>
              <w:t xml:space="preserve">They scan a nearby campus QR code or go directly to the report form on their phone.</w:t>
            </w:r>
          </w:p>
        </w:tc>
      </w:tr>
      <w:tr>
        <w:tc>
          <w:tcPr>
            <w:tcW w:type="dxa" w:w="480"/>
            <w:tcBorders>
              <w:top w:val="none" w:color="FFFFFF" w:sz="0"/>
              <w:left w:val="none" w:color="FFFFFF" w:sz="0"/>
              <w:bottom w:val="none" w:color="FFFFFF" w:sz="0"/>
              <w:right w:val="none" w:color="FFFFFF" w:sz="0"/>
            </w:tcBorders>
            <w:shd w:fill="0a2240" w:val="clear"/>
            <w:tcMar>
              <w:top w:type="dxa" w:w="80"/>
              <w:left w:type="dxa" w:w="120"/>
              <w:bottom w:type="dxa" w:w="80"/>
              <w:right w:type="dxa" w:w="120"/>
            </w:tcMar>
          </w:tcPr>
          <w:p>
            <w:pPr>
              <w:jc w:val="center"/>
            </w:pPr>
            <w:r>
              <w:rPr>
                <w:rFonts w:ascii="Arial" w:cs="Arial" w:eastAsia="Arial" w:hAnsi="Arial"/>
                <w:b/>
                <w:bCs/>
                <w:color w:val="C69214"/>
                <w:sz w:val="22"/>
                <w:szCs w:val="22"/>
              </w:rPr>
              <w:t xml:space="preserve">3</w:t>
            </w:r>
          </w:p>
        </w:tc>
        <w:tc>
          <w:tcPr>
            <w:tcW w:type="dxa" w:w="1800"/>
            <w:tcBorders>
              <w:top w:val="none" w:color="FFFFFF" w:sz="0"/>
              <w:left w:val="none" w:color="FFFFFF" w:sz="0"/>
              <w:bottom w:val="none" w:color="FFFFFF" w:sz="0"/>
              <w:right w:val="none" w:color="FFFFFF" w:sz="0"/>
            </w:tcBorders>
            <w:shd w:fill="F4F6F9" w:val="clear"/>
            <w:tcMar>
              <w:top w:type="dxa" w:w="80"/>
              <w:left w:type="dxa" w:w="120"/>
              <w:bottom w:type="dxa" w:w="80"/>
              <w:right w:type="dxa" w:w="120"/>
            </w:tcMar>
          </w:tcPr>
          <w:p>
            <w:r>
              <w:rPr>
                <w:rFonts w:ascii="Arial" w:cs="Arial" w:eastAsia="Arial" w:hAnsi="Arial"/>
                <w:b/>
                <w:bCs/>
                <w:color w:val="0a2240"/>
                <w:sz w:val="22"/>
                <w:szCs w:val="22"/>
              </w:rPr>
              <w:t xml:space="preserve">Form Submitted</w:t>
            </w:r>
          </w:p>
        </w:tc>
        <w:tc>
          <w:tcPr>
            <w:tcW w:type="dxa" w:w="708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555555"/>
                <w:sz w:val="22"/>
                <w:szCs w:val="22"/>
              </w:rPr>
              <w:t xml:space="preserve">They describe the issue, select the type, take a photo, and submit. Takes under a minute.</w:t>
            </w:r>
          </w:p>
        </w:tc>
      </w:tr>
      <w:tr>
        <w:tc>
          <w:tcPr>
            <w:tcW w:type="dxa" w:w="480"/>
            <w:tcBorders>
              <w:top w:val="none" w:color="FFFFFF" w:sz="0"/>
              <w:left w:val="none" w:color="FFFFFF" w:sz="0"/>
              <w:bottom w:val="none" w:color="FFFFFF" w:sz="0"/>
              <w:right w:val="none" w:color="FFFFFF" w:sz="0"/>
            </w:tcBorders>
            <w:shd w:fill="0a2240" w:val="clear"/>
            <w:tcMar>
              <w:top w:type="dxa" w:w="80"/>
              <w:left w:type="dxa" w:w="120"/>
              <w:bottom w:type="dxa" w:w="80"/>
              <w:right w:type="dxa" w:w="120"/>
            </w:tcMar>
          </w:tcPr>
          <w:p>
            <w:pPr>
              <w:jc w:val="center"/>
            </w:pPr>
            <w:r>
              <w:rPr>
                <w:rFonts w:ascii="Arial" w:cs="Arial" w:eastAsia="Arial" w:hAnsi="Arial"/>
                <w:b/>
                <w:bCs/>
                <w:color w:val="C69214"/>
                <w:sz w:val="22"/>
                <w:szCs w:val="22"/>
              </w:rPr>
              <w:t xml:space="preserve">4</w:t>
            </w:r>
          </w:p>
        </w:tc>
        <w:tc>
          <w:tcPr>
            <w:tcW w:type="dxa" w:w="1800"/>
            <w:tcBorders>
              <w:top w:val="none" w:color="FFFFFF" w:sz="0"/>
              <w:left w:val="none" w:color="FFFFFF" w:sz="0"/>
              <w:bottom w:val="none" w:color="FFFFFF" w:sz="0"/>
              <w:right w:val="none" w:color="FFFFFF" w:sz="0"/>
            </w:tcBorders>
            <w:shd w:fill="F4F6F9" w:val="clear"/>
            <w:tcMar>
              <w:top w:type="dxa" w:w="80"/>
              <w:left w:type="dxa" w:w="120"/>
              <w:bottom w:type="dxa" w:w="80"/>
              <w:right w:type="dxa" w:w="120"/>
            </w:tcMar>
          </w:tcPr>
          <w:p>
            <w:r>
              <w:rPr>
                <w:rFonts w:ascii="Arial" w:cs="Arial" w:eastAsia="Arial" w:hAnsi="Arial"/>
                <w:b/>
                <w:bCs/>
                <w:color w:val="0a2240"/>
                <w:sz w:val="22"/>
                <w:szCs w:val="22"/>
              </w:rPr>
              <w:t xml:space="preserve">Email Sent</w:t>
            </w:r>
          </w:p>
        </w:tc>
        <w:tc>
          <w:tcPr>
            <w:tcW w:type="dxa" w:w="708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555555"/>
                <w:sz w:val="22"/>
                <w:szCs w:val="22"/>
              </w:rPr>
              <w:t xml:space="preserve">Power Automate immediately sends an email to Facilities staff with the report details and a map link.</w:t>
            </w:r>
          </w:p>
        </w:tc>
      </w:tr>
      <w:tr>
        <w:tc>
          <w:tcPr>
            <w:tcW w:type="dxa" w:w="480"/>
            <w:tcBorders>
              <w:top w:val="none" w:color="FFFFFF" w:sz="0"/>
              <w:left w:val="none" w:color="FFFFFF" w:sz="0"/>
              <w:bottom w:val="none" w:color="FFFFFF" w:sz="0"/>
              <w:right w:val="none" w:color="FFFFFF" w:sz="0"/>
            </w:tcBorders>
            <w:shd w:fill="0a2240" w:val="clear"/>
            <w:tcMar>
              <w:top w:type="dxa" w:w="80"/>
              <w:left w:type="dxa" w:w="120"/>
              <w:bottom w:type="dxa" w:w="80"/>
              <w:right w:type="dxa" w:w="120"/>
            </w:tcMar>
          </w:tcPr>
          <w:p>
            <w:pPr>
              <w:jc w:val="center"/>
            </w:pPr>
            <w:r>
              <w:rPr>
                <w:rFonts w:ascii="Arial" w:cs="Arial" w:eastAsia="Arial" w:hAnsi="Arial"/>
                <w:b/>
                <w:bCs/>
                <w:color w:val="C69214"/>
                <w:sz w:val="22"/>
                <w:szCs w:val="22"/>
              </w:rPr>
              <w:t xml:space="preserve">5</w:t>
            </w:r>
          </w:p>
        </w:tc>
        <w:tc>
          <w:tcPr>
            <w:tcW w:type="dxa" w:w="1800"/>
            <w:tcBorders>
              <w:top w:val="none" w:color="FFFFFF" w:sz="0"/>
              <w:left w:val="none" w:color="FFFFFF" w:sz="0"/>
              <w:bottom w:val="none" w:color="FFFFFF" w:sz="0"/>
              <w:right w:val="none" w:color="FFFFFF" w:sz="0"/>
            </w:tcBorders>
            <w:shd w:fill="F4F6F9" w:val="clear"/>
            <w:tcMar>
              <w:top w:type="dxa" w:w="80"/>
              <w:left w:type="dxa" w:w="120"/>
              <w:bottom w:type="dxa" w:w="80"/>
              <w:right w:type="dxa" w:w="120"/>
            </w:tcMar>
          </w:tcPr>
          <w:p>
            <w:r>
              <w:rPr>
                <w:rFonts w:ascii="Arial" w:cs="Arial" w:eastAsia="Arial" w:hAnsi="Arial"/>
                <w:b/>
                <w:bCs/>
                <w:color w:val="0a2240"/>
                <w:sz w:val="22"/>
                <w:szCs w:val="22"/>
              </w:rPr>
              <w:t xml:space="preserve">Map Reviewed</w:t>
            </w:r>
          </w:p>
        </w:tc>
        <w:tc>
          <w:tcPr>
            <w:tcW w:type="dxa" w:w="708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555555"/>
                <w:sz w:val="22"/>
                <w:szCs w:val="22"/>
              </w:rPr>
              <w:t xml:space="preserve">Staff click the map link in the email. The map opens centered on the reported location with the photo visible.</w:t>
            </w:r>
          </w:p>
        </w:tc>
      </w:tr>
      <w:tr>
        <w:tc>
          <w:tcPr>
            <w:tcW w:type="dxa" w:w="480"/>
            <w:tcBorders>
              <w:top w:val="none" w:color="FFFFFF" w:sz="0"/>
              <w:left w:val="none" w:color="FFFFFF" w:sz="0"/>
              <w:bottom w:val="none" w:color="FFFFFF" w:sz="0"/>
              <w:right w:val="none" w:color="FFFFFF" w:sz="0"/>
            </w:tcBorders>
            <w:shd w:fill="0a2240" w:val="clear"/>
            <w:tcMar>
              <w:top w:type="dxa" w:w="80"/>
              <w:left w:type="dxa" w:w="120"/>
              <w:bottom w:type="dxa" w:w="80"/>
              <w:right w:type="dxa" w:w="120"/>
            </w:tcMar>
          </w:tcPr>
          <w:p>
            <w:pPr>
              <w:jc w:val="center"/>
            </w:pPr>
            <w:r>
              <w:rPr>
                <w:rFonts w:ascii="Arial" w:cs="Arial" w:eastAsia="Arial" w:hAnsi="Arial"/>
                <w:b/>
                <w:bCs/>
                <w:color w:val="C69214"/>
                <w:sz w:val="22"/>
                <w:szCs w:val="22"/>
              </w:rPr>
              <w:t xml:space="preserve">6</w:t>
            </w:r>
          </w:p>
        </w:tc>
        <w:tc>
          <w:tcPr>
            <w:tcW w:type="dxa" w:w="1800"/>
            <w:tcBorders>
              <w:top w:val="none" w:color="FFFFFF" w:sz="0"/>
              <w:left w:val="none" w:color="FFFFFF" w:sz="0"/>
              <w:bottom w:val="none" w:color="FFFFFF" w:sz="0"/>
              <w:right w:val="none" w:color="FFFFFF" w:sz="0"/>
            </w:tcBorders>
            <w:shd w:fill="F4F6F9" w:val="clear"/>
            <w:tcMar>
              <w:top w:type="dxa" w:w="80"/>
              <w:left w:type="dxa" w:w="120"/>
              <w:bottom w:type="dxa" w:w="80"/>
              <w:right w:type="dxa" w:w="120"/>
            </w:tcMar>
          </w:tcPr>
          <w:p>
            <w:r>
              <w:rPr>
                <w:rFonts w:ascii="Arial" w:cs="Arial" w:eastAsia="Arial" w:hAnsi="Arial"/>
                <w:b/>
                <w:bCs/>
                <w:color w:val="0a2240"/>
                <w:sz w:val="22"/>
                <w:szCs w:val="22"/>
              </w:rPr>
              <w:t xml:space="preserve">Issue Resolved</w:t>
            </w:r>
          </w:p>
        </w:tc>
        <w:tc>
          <w:tcPr>
            <w:tcW w:type="dxa" w:w="708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555555"/>
                <w:sz w:val="22"/>
                <w:szCs w:val="22"/>
              </w:rPr>
              <w:t xml:space="preserve">Facilities addresses the problem. Staff log into AGOL and mark the record as Resolved.</w:t>
            </w:r>
          </w:p>
        </w:tc>
      </w:tr>
      <w:tr>
        <w:tc>
          <w:tcPr>
            <w:tcW w:type="dxa" w:w="480"/>
            <w:tcBorders>
              <w:top w:val="none" w:color="FFFFFF" w:sz="0"/>
              <w:left w:val="none" w:color="FFFFFF" w:sz="0"/>
              <w:bottom w:val="none" w:color="FFFFFF" w:sz="0"/>
              <w:right w:val="none" w:color="FFFFFF" w:sz="0"/>
            </w:tcBorders>
            <w:shd w:fill="0a2240" w:val="clear"/>
            <w:tcMar>
              <w:top w:type="dxa" w:w="80"/>
              <w:left w:type="dxa" w:w="120"/>
              <w:bottom w:type="dxa" w:w="80"/>
              <w:right w:type="dxa" w:w="120"/>
            </w:tcMar>
          </w:tcPr>
          <w:p>
            <w:pPr>
              <w:jc w:val="center"/>
            </w:pPr>
            <w:r>
              <w:rPr>
                <w:rFonts w:ascii="Arial" w:cs="Arial" w:eastAsia="Arial" w:hAnsi="Arial"/>
                <w:b/>
                <w:bCs/>
                <w:color w:val="C69214"/>
                <w:sz w:val="22"/>
                <w:szCs w:val="22"/>
              </w:rPr>
              <w:t xml:space="preserve">7</w:t>
            </w:r>
          </w:p>
        </w:tc>
        <w:tc>
          <w:tcPr>
            <w:tcW w:type="dxa" w:w="1800"/>
            <w:tcBorders>
              <w:top w:val="none" w:color="FFFFFF" w:sz="0"/>
              <w:left w:val="none" w:color="FFFFFF" w:sz="0"/>
              <w:bottom w:val="none" w:color="FFFFFF" w:sz="0"/>
              <w:right w:val="none" w:color="FFFFFF" w:sz="0"/>
            </w:tcBorders>
            <w:shd w:fill="F4F6F9" w:val="clear"/>
            <w:tcMar>
              <w:top w:type="dxa" w:w="80"/>
              <w:left w:type="dxa" w:w="120"/>
              <w:bottom w:type="dxa" w:w="80"/>
              <w:right w:type="dxa" w:w="120"/>
            </w:tcMar>
          </w:tcPr>
          <w:p>
            <w:r>
              <w:rPr>
                <w:rFonts w:ascii="Arial" w:cs="Arial" w:eastAsia="Arial" w:hAnsi="Arial"/>
                <w:b/>
                <w:bCs/>
                <w:color w:val="0a2240"/>
                <w:sz w:val="22"/>
                <w:szCs w:val="22"/>
              </w:rPr>
              <w:t xml:space="preserve">Map Updated</w:t>
            </w:r>
          </w:p>
        </w:tc>
        <w:tc>
          <w:tcPr>
            <w:tcW w:type="dxa" w:w="708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555555"/>
                <w:sz w:val="22"/>
                <w:szCs w:val="22"/>
              </w:rPr>
              <w:t xml:space="preserve">The marker disappears from the map. The report is retained in the database for records.</w:t>
            </w:r>
          </w:p>
        </w:tc>
      </w:tr>
    </w:tbl>
    <w:p>
      <w:pPr>
        <w:spacing w:after="0" w:before="120"/>
      </w:pPr>
      <w:r>
        <w:t xml:space="preserve"/>
      </w:r>
    </w:p>
    <w:p>
      <w:pPr>
        <w:pStyle w:val="Heading1"/>
        <w:pBdr>
          <w:bottom w:val="single" w:color="C69214" w:sz="8" w:space="6"/>
        </w:pBdr>
        <w:spacing w:after="100" w:before="320"/>
      </w:pPr>
      <w:r>
        <w:rPr>
          <w:rFonts w:ascii="Arial" w:cs="Arial" w:eastAsia="Arial" w:hAnsi="Arial"/>
          <w:b/>
          <w:bCs/>
          <w:color w:val="0a2240"/>
          <w:sz w:val="28"/>
          <w:szCs w:val="28"/>
        </w:rPr>
        <w:t xml:space="preserve">Privacy &amp; Security</w:t>
      </w:r>
    </w:p>
    <w:p>
      <w:pPr>
        <w:spacing w:after="80" w:before="80"/>
      </w:pPr>
      <w:r>
        <w:rPr>
          <w:rFonts w:ascii="Arial" w:cs="Arial" w:eastAsia="Arial" w:hAnsi="Arial"/>
          <w:color w:val="333333"/>
          <w:sz w:val="22"/>
          <w:szCs w:val="22"/>
        </w:rPr>
        <w:t xml:space="preserve">These are the most common questions leadership will have about a public-facing reporting system. Each concern has a direct answer.</w:t>
      </w:r>
    </w:p>
    <w:p>
      <w:pPr>
        <w:spacing w:after="0" w:before="60"/>
      </w:pPr>
      <w:r>
        <w:t xml:space="preserve"/>
      </w:r>
    </w:p>
    <w:p>
      <w:pPr>
        <w:pStyle w:val="Heading2"/>
        <w:spacing w:after="80" w:before="200"/>
      </w:pPr>
      <w:r>
        <w:rPr>
          <w:rFonts w:ascii="Arial" w:cs="Arial" w:eastAsia="Arial" w:hAnsi="Arial"/>
          <w:b/>
          <w:bCs/>
          <w:color w:val="0a2240"/>
          <w:sz w:val="24"/>
          <w:szCs w:val="24"/>
        </w:rPr>
        <w:t xml:space="preserve">Who can see submitted reports?</w:t>
      </w:r>
    </w:p>
    <w:p>
      <w:pPr>
        <w:spacing w:after="80" w:before="80"/>
      </w:pPr>
      <w:r>
        <w:rPr>
          <w:rFonts w:ascii="Arial" w:cs="Arial" w:eastAsia="Arial" w:hAnsi="Arial"/>
          <w:color w:val="333333"/>
          <w:sz w:val="22"/>
          <w:szCs w:val="22"/>
        </w:rPr>
        <w:t xml:space="preserve">The public-facing map displays only: campus, issue type, description, date reported, and any photos submitted. Contact information — the reporter's email address — is never displayed on the public map. It appears only in the private email notification sent to Facilities staff.</w:t>
      </w:r>
    </w:p>
    <w:p>
      <w:pPr>
        <w:spacing w:after="0" w:before="40"/>
      </w:pPr>
      <w:r>
        <w:t xml:space="preserve"/>
      </w:r>
    </w:p>
    <w:p>
      <w:pPr>
        <w:pStyle w:val="Heading2"/>
        <w:spacing w:after="80" w:before="200"/>
      </w:pPr>
      <w:r>
        <w:rPr>
          <w:rFonts w:ascii="Arial" w:cs="Arial" w:eastAsia="Arial" w:hAnsi="Arial"/>
          <w:b/>
          <w:bCs/>
          <w:color w:val="0a2240"/>
          <w:sz w:val="24"/>
          <w:szCs w:val="24"/>
        </w:rPr>
        <w:t xml:space="preserve">Does the map expose sensitive UNG infrastructure?</w:t>
      </w:r>
    </w:p>
    <w:p>
      <w:pPr>
        <w:spacing w:after="80" w:before="80"/>
      </w:pPr>
      <w:r>
        <w:rPr>
          <w:rFonts w:ascii="Arial" w:cs="Arial" w:eastAsia="Arial" w:hAnsi="Arial"/>
          <w:color w:val="333333"/>
          <w:sz w:val="22"/>
          <w:szCs w:val="22"/>
        </w:rPr>
        <w:t xml:space="preserve">No. The map shows the location of reported problems on public areas of campus — the same areas visible to anyone walking on campus. It does not display building floor plans, utility networks, security systems, or any infrastructure data. A pothole in a parking lot is not sensitive information.</w:t>
      </w:r>
    </w:p>
    <w:p>
      <w:pPr>
        <w:spacing w:after="0" w:before="40"/>
      </w:pPr>
      <w:r>
        <w:t xml:space="preserve"/>
      </w:r>
    </w:p>
    <w:p>
      <w:pPr>
        <w:pStyle w:val="Heading2"/>
        <w:spacing w:after="80" w:before="200"/>
      </w:pPr>
      <w:r>
        <w:rPr>
          <w:rFonts w:ascii="Arial" w:cs="Arial" w:eastAsia="Arial" w:hAnsi="Arial"/>
          <w:b/>
          <w:bCs/>
          <w:color w:val="0a2240"/>
          <w:sz w:val="24"/>
          <w:szCs w:val="24"/>
        </w:rPr>
        <w:t xml:space="preserve">Who controls the data?</w:t>
      </w:r>
    </w:p>
    <w:p>
      <w:pPr>
        <w:spacing w:after="80" w:before="80"/>
      </w:pPr>
      <w:r>
        <w:rPr>
          <w:rFonts w:ascii="Arial" w:cs="Arial" w:eastAsia="Arial" w:hAnsi="Arial"/>
          <w:color w:val="333333"/>
          <w:sz w:val="22"/>
          <w:szCs w:val="22"/>
        </w:rPr>
        <w:t xml:space="preserve">All data is stored within UNG's existing ArcGIS Online organizational account — the same environment used for all UNG Facilities GIS data. UNG owns and controls the data. It is not shared with any third party. Esri's data handling is governed by UNG's existing enterprise license agreement with IESA.</w:t>
      </w:r>
    </w:p>
    <w:p>
      <w:pPr>
        <w:spacing w:after="0" w:before="40"/>
      </w:pPr>
      <w:r>
        <w:t xml:space="preserve"/>
      </w:r>
    </w:p>
    <w:p>
      <w:pPr>
        <w:pStyle w:val="Heading2"/>
        <w:spacing w:after="80" w:before="200"/>
      </w:pPr>
      <w:r>
        <w:rPr>
          <w:rFonts w:ascii="Arial" w:cs="Arial" w:eastAsia="Arial" w:hAnsi="Arial"/>
          <w:b/>
          <w:bCs/>
          <w:color w:val="0a2240"/>
          <w:sz w:val="24"/>
          <w:szCs w:val="24"/>
        </w:rPr>
        <w:t xml:space="preserve">Can anyone submit false or malicious reports?</w:t>
      </w:r>
    </w:p>
    <w:p>
      <w:pPr>
        <w:spacing w:after="80" w:before="80"/>
      </w:pPr>
      <w:r>
        <w:rPr>
          <w:rFonts w:ascii="Arial" w:cs="Arial" w:eastAsia="Arial" w:hAnsi="Arial"/>
          <w:color w:val="333333"/>
          <w:sz w:val="22"/>
          <w:szCs w:val="22"/>
        </w:rPr>
        <w:t xml:space="preserve">Yes — the form is public, as any reporting mechanism must be to be useful. This is no different from a facilities request email address or a phone line. Reports are reviewed by Facilities staff before any action is taken. The contact information field allows follow-up if a report is unclear. The system does not trigger any automated action — it notifies a human who exercises judgment.</w:t>
      </w:r>
    </w:p>
    <w:p>
      <w:pPr>
        <w:spacing w:after="0" w:before="40"/>
      </w:pPr>
      <w:r>
        <w:t xml:space="preserve"/>
      </w:r>
    </w:p>
    <w:p>
      <w:pPr>
        <w:pStyle w:val="Heading2"/>
        <w:spacing w:after="80" w:before="200"/>
      </w:pPr>
      <w:r>
        <w:rPr>
          <w:rFonts w:ascii="Arial" w:cs="Arial" w:eastAsia="Arial" w:hAnsi="Arial"/>
          <w:b/>
          <w:bCs/>
          <w:color w:val="0a2240"/>
          <w:sz w:val="24"/>
          <w:szCs w:val="24"/>
        </w:rPr>
        <w:t xml:space="preserve">What happens to old reports?</w:t>
      </w:r>
    </w:p>
    <w:p>
      <w:pPr>
        <w:spacing w:after="80" w:before="80"/>
      </w:pPr>
      <w:r>
        <w:rPr>
          <w:rFonts w:ascii="Arial" w:cs="Arial" w:eastAsia="Arial" w:hAnsi="Arial"/>
          <w:color w:val="333333"/>
          <w:sz w:val="22"/>
          <w:szCs w:val="22"/>
        </w:rPr>
        <w:t xml:space="preserve">Reports marked as Resolved are removed from the public map but retained in the ArcGIS database. This provides a historical record of reported issues and resolution, which can be used for facilities planning and reporting purposes.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C69214" w:val="clear"/>
            <w:tcMar>
              <w:top w:type="dxa" w:w="0"/>
              <w:left w:type="dxa" w:w="0"/>
              <w:bottom w:type="dxa" w:w="0"/>
              <w:right w:type="dxa" w:w="0"/>
            </w:tcMar>
          </w:tcPr>
          <w:p>
            <w:r>
              <w:t xml:space="preserve"/>
            </w:r>
          </w:p>
        </w:tc>
        <w:tc>
          <w:tcPr>
            <w:tcW w:type="dxa" w:w="9200"/>
            <w:tcBorders>
              <w:top w:val="none" w:color="FFFFFF" w:sz="0"/>
              <w:left w:val="none" w:color="FFFFFF" w:sz="0"/>
              <w:bottom w:val="none" w:color="FFFFFF" w:sz="0"/>
              <w:right w:val="none" w:color="FFFFFF" w:sz="0"/>
            </w:tcBorders>
            <w:shd w:fill="EBF2F8" w:val="clear"/>
            <w:tcMar>
              <w:top w:type="dxa" w:w="120"/>
              <w:left w:type="dxa" w:w="180"/>
              <w:bottom w:type="dxa" w:w="120"/>
              <w:right w:type="dxa" w:w="160"/>
            </w:tcMar>
          </w:tcPr>
          <w:p>
            <w:r>
              <w:rPr>
                <w:rFonts w:ascii="Arial" w:cs="Arial" w:eastAsia="Arial" w:hAnsi="Arial"/>
                <w:i/>
                <w:iCs/>
                <w:color w:val="333333"/>
                <w:sz w:val="22"/>
                <w:szCs w:val="22"/>
              </w:rPr>
              <w:t xml:space="preserve">The data displayed on the public map is less sensitive than a typical campus facilities work order. It describes observable conditions in public spaces. Contact information is protected. UNG controls all data within its existing licensed infrastructure.</w:t>
            </w:r>
          </w:p>
        </w:tc>
      </w:tr>
    </w:tbl>
    <w:p>
      <w:pPr>
        <w:spacing w:after="0" w:before="120"/>
      </w:pPr>
      <w:r>
        <w:t xml:space="preserve"/>
      </w:r>
    </w:p>
    <w:p>
      <w:pPr>
        <w:pStyle w:val="Heading1"/>
        <w:pBdr>
          <w:bottom w:val="single" w:color="C69214" w:sz="8" w:space="6"/>
        </w:pBdr>
        <w:spacing w:after="100" w:before="320"/>
      </w:pPr>
      <w:r>
        <w:rPr>
          <w:rFonts w:ascii="Arial" w:cs="Arial" w:eastAsia="Arial" w:hAnsi="Arial"/>
          <w:b/>
          <w:bCs/>
          <w:color w:val="0a2240"/>
          <w:sz w:val="28"/>
          <w:szCs w:val="28"/>
        </w:rPr>
        <w:t xml:space="preserve">Cost</w:t>
      </w:r>
    </w:p>
    <w:p>
      <w:pPr>
        <w:spacing w:after="80" w:before="80"/>
      </w:pPr>
      <w:r>
        <w:rPr>
          <w:rFonts w:ascii="Arial" w:cs="Arial" w:eastAsia="Arial" w:hAnsi="Arial"/>
          <w:color w:val="333333"/>
          <w:sz w:val="22"/>
          <w:szCs w:val="22"/>
        </w:rPr>
        <w:t xml:space="preserve">The system has no ongoing cost to UNG beyond what is already being paid.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c>
          <w:tcPr>
            <w:tcW w:type="dxa" w:w="3000"/>
            <w:tcBorders>
              <w:top w:val="single" w:color="CCCCCC" w:sz="1"/>
              <w:left w:val="single" w:color="CCCCCC" w:sz="1"/>
              <w:bottom w:val="single" w:color="CCCCCC" w:sz="1"/>
              <w:right w:val="single" w:color="CCCCCC" w:sz="1"/>
            </w:tcBorders>
            <w:shd w:fill="0a2240"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800"/>
            <w:tcBorders>
              <w:top w:val="single" w:color="CCCCCC" w:sz="1"/>
              <w:left w:val="single" w:color="CCCCCC" w:sz="1"/>
              <w:bottom w:val="single" w:color="CCCCCC" w:sz="1"/>
              <w:right w:val="single" w:color="CCCCCC" w:sz="1"/>
            </w:tcBorders>
            <w:shd w:fill="0a2240"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3560"/>
            <w:tcBorders>
              <w:top w:val="single" w:color="CCCCCC" w:sz="1"/>
              <w:left w:val="single" w:color="CCCCCC" w:sz="1"/>
              <w:bottom w:val="single" w:color="CCCCCC" w:sz="1"/>
              <w:right w:val="single" w:color="CCCCCC" w:sz="1"/>
            </w:tcBorders>
            <w:shd w:fill="0a2240"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a2240"/>
                <w:sz w:val="20"/>
                <w:szCs w:val="20"/>
              </w:rPr>
              <w:t xml:space="preserve">Reporting form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Survey123 (ArcGIS)</w:t>
            </w:r>
          </w:p>
        </w:tc>
        <w:tc>
          <w:tcPr>
            <w:tcW w:type="dxa" w:w="3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6b3c"/>
                <w:sz w:val="20"/>
                <w:szCs w:val="20"/>
              </w:rPr>
              <w:t xml:space="preserve">Included in IESA enterprise license</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0a2240"/>
                <w:sz w:val="20"/>
                <w:szCs w:val="20"/>
              </w:rPr>
              <w:t xml:space="preserve">Email notification</w:t>
            </w:r>
          </w:p>
        </w:tc>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Power Automate (Microsoft)</w:t>
            </w:r>
          </w:p>
        </w:tc>
        <w:tc>
          <w:tcPr>
            <w:tcW w:type="dxa" w:w="3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6b3c"/>
                <w:sz w:val="20"/>
                <w:szCs w:val="20"/>
              </w:rPr>
              <w:t xml:space="preserve">Included in Microsoft 365 license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a2240"/>
                <w:sz w:val="20"/>
                <w:szCs w:val="20"/>
              </w:rPr>
              <w:t xml:space="preserve">Facilities Issue Map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 Pages / Leaflet</w:t>
            </w:r>
          </w:p>
        </w:tc>
        <w:tc>
          <w:tcPr>
            <w:tcW w:type="dxa" w:w="3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6b3c"/>
                <w:sz w:val="20"/>
                <w:szCs w:val="20"/>
              </w:rPr>
              <w:t xml:space="preserve">Free — open source, GitHub Pages hosting</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0a2240"/>
                <w:sz w:val="20"/>
                <w:szCs w:val="20"/>
              </w:rPr>
              <w:t xml:space="preserve">Data storage</w:t>
            </w:r>
          </w:p>
        </w:tc>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ArcGIS Online (UNG org)</w:t>
            </w:r>
          </w:p>
        </w:tc>
        <w:tc>
          <w:tcPr>
            <w:tcW w:type="dxa" w:w="3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6b3c"/>
                <w:sz w:val="20"/>
                <w:szCs w:val="20"/>
              </w:rPr>
              <w:t xml:space="preserve">Included in IESA enterprise license</w:t>
            </w:r>
          </w:p>
        </w:tc>
      </w:tr>
    </w:tbl>
    <w:p>
      <w:pPr>
        <w:spacing w:after="0" w:before="120"/>
      </w:pPr>
      <w:r>
        <w:t xml:space="preserve"/>
      </w:r>
    </w:p>
    <w:p>
      <w:pPr>
        <w:pStyle w:val="Heading1"/>
        <w:pBdr>
          <w:bottom w:val="single" w:color="C69214" w:sz="8" w:space="6"/>
        </w:pBdr>
        <w:spacing w:after="100" w:before="320"/>
      </w:pPr>
      <w:r>
        <w:rPr>
          <w:rFonts w:ascii="Arial" w:cs="Arial" w:eastAsia="Arial" w:hAnsi="Arial"/>
          <w:b/>
          <w:bCs/>
          <w:color w:val="0a2240"/>
          <w:sz w:val="28"/>
          <w:szCs w:val="28"/>
        </w:rPr>
        <w:t xml:space="preserve">What Is Needed to Go Campus-Wide</w:t>
      </w:r>
    </w:p>
    <w:p>
      <w:pPr>
        <w:spacing w:after="80" w:before="80"/>
      </w:pPr>
      <w:r>
        <w:rPr>
          <w:rFonts w:ascii="Arial" w:cs="Arial" w:eastAsia="Arial" w:hAnsi="Arial"/>
          <w:color w:val="333333"/>
          <w:sz w:val="22"/>
          <w:szCs w:val="22"/>
        </w:rPr>
        <w:t xml:space="preserve">The system is built and operational. Expanding it campus-wide requires two decisions and one small physical investment.</w:t>
      </w:r>
    </w:p>
    <w:p>
      <w:pPr>
        <w:spacing w:after="0" w:before="60"/>
      </w:pPr>
      <w:r>
        <w:t xml:space="preserve"/>
      </w:r>
    </w:p>
    <w:p>
      <w:pPr>
        <w:pStyle w:val="Heading2"/>
        <w:spacing w:after="80" w:before="200"/>
      </w:pPr>
      <w:r>
        <w:rPr>
          <w:rFonts w:ascii="Arial" w:cs="Arial" w:eastAsia="Arial" w:hAnsi="Arial"/>
          <w:b/>
          <w:bCs/>
          <w:color w:val="0a2240"/>
          <w:sz w:val="24"/>
          <w:szCs w:val="24"/>
        </w:rPr>
        <w:t xml:space="preserve">Decision 1 — Designate a recipient for issue notifications</w:t>
      </w:r>
    </w:p>
    <w:p>
      <w:pPr>
        <w:spacing w:after="80" w:before="80"/>
      </w:pPr>
      <w:r>
        <w:rPr>
          <w:rFonts w:ascii="Arial" w:cs="Arial" w:eastAsia="Arial" w:hAnsi="Arial"/>
          <w:color w:val="333333"/>
          <w:sz w:val="22"/>
          <w:szCs w:val="22"/>
        </w:rPr>
        <w:t xml:space="preserve">The email notification currently goes to the GIS Analyst. It should go to whoever in Facilities Operations is responsible for dispatching non-emergency maintenance work. This could be an individual or a shared Facilities mailbox.</w:t>
      </w:r>
    </w:p>
    <w:p>
      <w:pPr>
        <w:spacing w:after="0" w:before="40"/>
      </w:pPr>
      <w:r>
        <w:t xml:space="preserve"/>
      </w:r>
    </w:p>
    <w:p>
      <w:pPr>
        <w:pStyle w:val="Heading2"/>
        <w:spacing w:after="80" w:before="200"/>
      </w:pPr>
      <w:r>
        <w:rPr>
          <w:rFonts w:ascii="Arial" w:cs="Arial" w:eastAsia="Arial" w:hAnsi="Arial"/>
          <w:b/>
          <w:bCs/>
          <w:color w:val="0a2240"/>
          <w:sz w:val="24"/>
          <w:szCs w:val="24"/>
        </w:rPr>
        <w:t xml:space="preserve">Decision 2 — Determine QR code placement</w:t>
      </w:r>
    </w:p>
    <w:p>
      <w:pPr>
        <w:spacing w:after="80" w:before="80"/>
      </w:pPr>
      <w:r>
        <w:rPr>
          <w:rFonts w:ascii="Arial" w:cs="Arial" w:eastAsia="Arial" w:hAnsi="Arial"/>
          <w:color w:val="333333"/>
          <w:sz w:val="22"/>
          <w:szCs w:val="22"/>
        </w:rPr>
        <w:t xml:space="preserve">QR codes need to be physically mounted at campus locations for the public reporting link to be easily accessible. Recommended starting locations: main campus entrances, parking lots, and high-traffic building entrances. Facilities and Campus Life should jointly identify placement locations. GIS can provide a candidate map.</w:t>
      </w:r>
    </w:p>
    <w:p>
      <w:pPr>
        <w:spacing w:after="0" w:before="40"/>
      </w:pPr>
      <w:r>
        <w:t xml:space="preserve"/>
      </w:r>
    </w:p>
    <w:p>
      <w:pPr>
        <w:pStyle w:val="Heading2"/>
        <w:spacing w:after="80" w:before="200"/>
      </w:pPr>
      <w:r>
        <w:rPr>
          <w:rFonts w:ascii="Arial" w:cs="Arial" w:eastAsia="Arial" w:hAnsi="Arial"/>
          <w:b/>
          <w:bCs/>
          <w:color w:val="0a2240"/>
          <w:sz w:val="24"/>
          <w:szCs w:val="24"/>
        </w:rPr>
        <w:t xml:space="preserve">Physical cost — QR code signs</w:t>
      </w:r>
    </w:p>
    <w:p>
      <w:pPr>
        <w:spacing w:after="80" w:before="80"/>
      </w:pPr>
      <w:r>
        <w:rPr>
          <w:rFonts w:ascii="Arial" w:cs="Arial" w:eastAsia="Arial" w:hAnsi="Arial"/>
          <w:color w:val="333333"/>
          <w:sz w:val="22"/>
          <w:szCs w:val="22"/>
        </w:rPr>
        <w:t xml:space="preserve">QR codes can be printed as weatherproof vinyl stickers for $2-5 each and applied to existing surfaces. A pilot with 10 locations across the Dahlonega campus would cost approximately $20-50 in materials. No new infrastructure required.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C69214" w:val="clear"/>
            <w:tcMar>
              <w:top w:type="dxa" w:w="0"/>
              <w:left w:type="dxa" w:w="0"/>
              <w:bottom w:type="dxa" w:w="0"/>
              <w:right w:type="dxa" w:w="0"/>
            </w:tcMar>
          </w:tcPr>
          <w:p>
            <w:r>
              <w:t xml:space="preserve"/>
            </w:r>
          </w:p>
        </w:tc>
        <w:tc>
          <w:tcPr>
            <w:tcW w:type="dxa" w:w="9200"/>
            <w:tcBorders>
              <w:top w:val="none" w:color="FFFFFF" w:sz="0"/>
              <w:left w:val="none" w:color="FFFFFF" w:sz="0"/>
              <w:bottom w:val="none" w:color="FFFFFF" w:sz="0"/>
              <w:right w:val="none" w:color="FFFFFF" w:sz="0"/>
            </w:tcBorders>
            <w:shd w:fill="EBF2F8" w:val="clear"/>
            <w:tcMar>
              <w:top w:type="dxa" w:w="120"/>
              <w:left w:type="dxa" w:w="180"/>
              <w:bottom w:type="dxa" w:w="120"/>
              <w:right w:type="dxa" w:w="160"/>
            </w:tcMar>
          </w:tcPr>
          <w:p>
            <w:r>
              <w:rPr>
                <w:rFonts w:ascii="Arial" w:cs="Arial" w:eastAsia="Arial" w:hAnsi="Arial"/>
                <w:i/>
                <w:iCs/>
                <w:color w:val="333333"/>
                <w:sz w:val="22"/>
                <w:szCs w:val="22"/>
              </w:rPr>
              <w:t xml:space="preserve">The system is ready to deploy today. The only requirements are a designated email recipient in Facilities Operations and a decision on QR code placement. Total additional cost: $20-50 for a Dahlonega pilot.</w:t>
            </w:r>
          </w:p>
        </w:tc>
      </w:tr>
    </w:tbl>
    <w:p>
      <w:pPr>
        <w:spacing w:after="0" w:before="120"/>
      </w:pPr>
      <w:r>
        <w:t xml:space="preserve"/>
      </w:r>
    </w:p>
    <w:p>
      <w:pPr>
        <w:pBdr>
          <w:top w:val="single" w:color="C69214" w:sz="4" w:space="8"/>
        </w:pBdr>
        <w:spacing w:after="60" w:before="200"/>
      </w:pPr>
      <w:r>
        <w:rPr>
          <w:rFonts w:ascii="Arial" w:cs="Arial" w:eastAsia="Arial" w:hAnsi="Arial"/>
          <w:b/>
          <w:bCs/>
          <w:color w:val="0a2240"/>
          <w:sz w:val="22"/>
          <w:szCs w:val="22"/>
        </w:rPr>
        <w:t xml:space="preserve">Contact</w:t>
      </w:r>
    </w:p>
    <w:p>
      <w:pPr>
        <w:spacing w:after="80" w:before="80"/>
      </w:pPr>
      <w:r>
        <w:rPr>
          <w:rFonts w:ascii="Arial" w:cs="Arial" w:eastAsia="Arial" w:hAnsi="Arial"/>
          <w:color w:val="333333"/>
          <w:sz w:val="22"/>
          <w:szCs w:val="22"/>
        </w:rPr>
        <w:t xml:space="preserve">John Segars, MGIS  |  Facilities Planning Specialist / GIS Analyst</w:t>
      </w:r>
    </w:p>
    <w:p>
      <w:pPr>
        <w:spacing w:after="80" w:before="80"/>
      </w:pPr>
      <w:r>
        <w:rPr>
          <w:rFonts w:ascii="Arial" w:cs="Arial" w:eastAsia="Arial" w:hAnsi="Arial"/>
          <w:color w:val="333333"/>
          <w:sz w:val="22"/>
          <w:szCs w:val="22"/>
        </w:rPr>
        <w:t xml:space="preserve">University of North Georgia — Facilities Management</w:t>
      </w:r>
    </w:p>
    <w:p>
      <w:pPr>
        <w:spacing w:after="80" w:before="80"/>
      </w:pPr>
      <w:r>
        <w:rPr>
          <w:rFonts w:ascii="Arial" w:cs="Arial" w:eastAsia="Arial" w:hAnsi="Arial"/>
          <w:color w:val="333333"/>
          <w:sz w:val="22"/>
          <w:szCs w:val="22"/>
        </w:rPr>
        <w:t xml:space="preserve">jdsegars@ung.edu  |  gis-ung-facilities.hub.arcgis.com</w:t>
      </w:r>
    </w:p>
    <w:p>
      <w:pPr>
        <w:spacing w:after="0" w:before="60"/>
      </w:pPr>
      <w:r>
        <w:t xml:space="preserve"/>
      </w:r>
    </w:p>
    <w:p>
      <w:pPr>
        <w:spacing w:after="80" w:before="80"/>
      </w:pPr>
      <w:r>
        <w:rPr>
          <w:rFonts w:ascii="Arial" w:cs="Arial" w:eastAsia="Arial" w:hAnsi="Arial"/>
          <w:i/>
          <w:iCs/>
          <w:color w:val="666666"/>
          <w:sz w:val="22"/>
          <w:szCs w:val="22"/>
        </w:rPr>
        <w:t xml:space="preserve">Live map: unggis.github.io/ung-facilities-maps/maintenance_issue/</w:t>
      </w:r>
    </w:p>
    <w:p>
      <w:pPr>
        <w:spacing w:after="80" w:before="80"/>
      </w:pPr>
      <w:r>
        <w:rPr>
          <w:rFonts w:ascii="Arial" w:cs="Arial" w:eastAsia="Arial" w:hAnsi="Arial"/>
          <w:i/>
          <w:iCs/>
          <w:color w:val="666666"/>
          <w:sz w:val="22"/>
          <w:szCs w:val="22"/>
        </w:rPr>
        <w:t xml:space="preserve">Report form: survey123.arcgis.com/share/ca742b0a3514485fa625475ccbc314e4</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69214" w:sz="4" w:space="4"/>
      </w:pBdr>
      <w:spacing w:after="0" w:before="80"/>
    </w:pPr>
    <w:r>
      <w:rPr>
        <w:rFonts w:ascii="Arial" w:cs="Arial" w:eastAsia="Arial" w:hAnsi="Arial"/>
        <w:color w:val="666666"/>
        <w:sz w:val="18"/>
        <w:szCs w:val="18"/>
      </w:rPr>
      <w:t xml:space="preserve">University of North Georgia  |  Facilities Management  |  Prepared by: John Segars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none" w:color="FFFFFF" w:sz="0"/>
            <w:right w:val="none" w:color="FFFFFF" w:sz="0"/>
          </w:tcBorders>
          <w:shd w:fill="0a2240" w:val="clear"/>
          <w:tcMar>
            <w:top w:type="dxa" w:w="80"/>
            <w:left w:type="dxa" w:w="160"/>
            <w:bottom w:type="dxa" w:w="80"/>
            <w:right w:type="dxa" w:w="120"/>
          </w:tcMar>
        </w:tcPr>
        <w:p>
          <w:r>
            <w:rPr>
              <w:rFonts w:ascii="Arial" w:cs="Arial" w:eastAsia="Arial" w:hAnsi="Arial"/>
              <w:b/>
              <w:bCs/>
              <w:color w:val="FFFFFF"/>
              <w:sz w:val="18"/>
              <w:szCs w:val="18"/>
            </w:rPr>
            <w:t xml:space="preserve">UNG Facilities GIS — Non-Emergency Maintenance Reporting</w:t>
          </w:r>
        </w:p>
      </w:tc>
      <w:tc>
        <w:tcPr>
          <w:tcW w:type="dxa" w:w="2160"/>
          <w:tcBorders>
            <w:top w:val="none" w:color="FFFFFF" w:sz="0"/>
            <w:left w:val="none" w:color="FFFFFF" w:sz="0"/>
            <w:bottom w:val="none" w:color="FFFFFF" w:sz="0"/>
            <w:right w:val="none" w:color="FFFFFF" w:sz="0"/>
          </w:tcBorders>
          <w:shd w:fill="C69214" w:val="clear"/>
          <w:tcMar>
            <w:top w:type="dxa" w:w="80"/>
            <w:left w:type="dxa" w:w="120"/>
            <w:bottom w:type="dxa" w:w="80"/>
            <w:right w:type="dxa" w:w="160"/>
          </w:tcMar>
        </w:tcPr>
        <w:p>
          <w:pPr>
            <w:jc w:val="right"/>
          </w:pPr>
          <w:r>
            <w:rPr>
              <w:rFonts w:ascii="Arial" w:cs="Arial" w:eastAsia="Arial" w:hAnsi="Arial"/>
              <w:b/>
              <w:bCs/>
              <w:color w:val="0a2240"/>
              <w:sz w:val="18"/>
              <w:szCs w:val="18"/>
            </w:rPr>
            <w:t xml:space="preserve">May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20"/>
      <w:outlineLvl w:val="0"/>
    </w:pPr>
    <w:rPr>
      <w:rFonts w:ascii="Arial" w:cs="Arial" w:eastAsia="Arial" w:hAnsi="Arial"/>
      <w:b/>
      <w:bCs/>
      <w:color w:val="0a2240"/>
      <w:sz w:val="28"/>
      <w:szCs w:val="28"/>
    </w:rPr>
  </w:style>
  <w:style w:type="paragraph" w:styleId="Heading2">
    <w:name w:val="Heading 2"/>
    <w:basedOn w:val="Normal"/>
    <w:next w:val="Normal"/>
    <w:qFormat/>
    <w:pPr>
      <w:spacing w:after="80" w:before="200"/>
      <w:outlineLvl w:val="1"/>
    </w:pPr>
    <w:rPr>
      <w:rFonts w:ascii="Arial" w:cs="Arial" w:eastAsia="Arial" w:hAnsi="Arial"/>
      <w:b/>
      <w:bCs/>
      <w:color w:val="0a22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2026-05-18T14:18:37.692Z</dcterms:created>
  <dcterms:modified xsi:type="dcterms:W3CDTF">2026-05-18T14:18:37.707Z</dcterms:modified>
</cp:coreProperties>
</file>

<file path=docProps/custom.xml><?xml version="1.0" encoding="utf-8"?>
<Properties xmlns="http://schemas.openxmlformats.org/officeDocument/2006/custom-properties" xmlns:vt="http://schemas.openxmlformats.org/officeDocument/2006/docPropsVTypes"/>
</file>