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Сопроводительная записка</w:t>
      </w:r>
    </w:p>
    <w:p>
      <w:r>
        <w:rPr/>
        <w:t>Авторы: Чистяков Евгений, Иван Курлыков, Леонид Пластуненко, Николай Кузнецов, Игорь Софронов.</w:t>
      </w:r>
    </w:p>
    <w:p>
      <w:r>
        <w:rPr/>
        <w:t>Прототип агрегатора ИТ-вакансий с профилем достижений Федерации спортивного программирования. Стенд — один процесс. Боевого реестра на нём нет.</w:t>
      </w:r>
    </w:p>
    <w:p>
      <w:pPr>
        <w:pStyle w:val="Heading1"/>
      </w:pPr>
      <w:r>
        <w:t>Архитектура</w:t>
      </w:r>
    </w:p>
    <w:p>
      <w:r>
        <w:rPr/>
        <w:t>Монолит Python 3.12 в каталоге `product`. Три слоя живут в одном процессе uvicorn с одним worker:</w:t>
      </w:r>
    </w:p>
    <w:p>
      <w:pPr>
        <w:pStyle w:val="ListBullet"/>
      </w:pPr>
      <w:r>
        <w:rPr/>
        <w:t>Веб: Jinja2 и локальный htmx. Страницы `/auth`, `/candidate`, `/employer`. Файл htmx лежит в репозитории, ссылок на CDN нет. В светлой шапке знак `logo_02w.svg`.</w:t>
      </w:r>
    </w:p>
    <w:p>
      <w:pPr>
        <w:pStyle w:val="ListBullet"/>
      </w:pPr>
      <w:r>
        <w:rPr/>
        <w:t>API: FastAPI, префикс JSON `/api`. Сессия — cookie `product_session`.</w:t>
      </w:r>
    </w:p>
    <w:p>
      <w:pPr>
        <w:pStyle w:val="ListBullet"/>
      </w:pPr>
      <w:r>
        <w:rPr/>
        <w:t>Хранилище: один файл SQLite в режиме WAL. На стенде это `/data/app.sqlite` в томе `fsp-sqlite`. Писатель один.</w:t>
      </w:r>
    </w:p>
    <w:p>
      <w:r>
        <w:rPr/>
        <w:t>Подбор, тест и разбор резюме — функции в `product/matching`. Мок достижений при старте кладёт JSON из git в SQLite; кабинеты и пересчёт категории читают одни таблицы. Каталог `memory` продукт не импортирует. Отдельной СУБД и React в compose нет. Локальный Keycloak есть и в образ приложения не входит.</w:t>
      </w:r>
    </w:p>
    <w:p>
      <w:pPr>
        <w:pStyle w:val="Heading2"/>
      </w:pPr>
      <w:r>
        <w:t>Модели</w:t>
      </w:r>
    </w:p>
    <w:p>
      <w:r>
        <w:rPr/>
        <w:t>В обязательном пути жюри моделей нет: категоризация, тест, подбор, разбор PDF и приглашение считаются правилами в `product/matching` и сервисами кабинетов. Разбор резюме — `pypdf` 6.19.0 и локальный словарь `stack_synonyms.json`, без внешнего вызова. Локального инференса нет, GPU на стенде нет и не требуется. Персональные данные (почта, ФИО, анкета) живут в SQLite тома стенда и за контур процесса не уходят. Если позже появится генерация заданий — только российская модель, вне обязательного пути жюри, с отдельным описанием в записке. Перечень допустимых моделей организаторы обещали отдельно, в записку его не подставляем.</w:t>
      </w:r>
    </w:p>
    <w:p>
      <w:pPr>
        <w:pStyle w:val="Heading1"/>
      </w:pPr>
      <w:r>
        <w:t>Механика теста</w:t>
      </w:r>
    </w:p>
    <w:p>
      <w:r>
        <w:rPr/>
        <w:t>ТЗ §2 требует подход, устойчивый к распространению заданий и дающий сопоставимую сложность. Механика теста — `product/matching/assessment.py`. Это тот же код сборки варианта и оценки, который проверен симуляцией `product/validation_sim`.</w:t>
      </w:r>
    </w:p>
    <w:p>
      <w:pPr>
        <w:pStyle w:val="ListBullet"/>
      </w:pPr>
      <w:r>
        <w:rPr>
          <w:b/>
        </w:rPr>
        <w:t>Каталог-источник.</w:t>
      </w:r>
      <w:r>
        <w:rPr/>
        <w:t xml:space="preserve"> 216 вопросов (`product/matching/stems.py`), по 9 на пару «специализация × грейд», темы `refusal_contract`, `close_cause`, `offline_check`. Кандидату каталог напрямую не показывается: из него собран банк.</w:t>
      </w:r>
    </w:p>
    <w:p>
      <w:pPr>
        <w:pStyle w:val="ListBullet"/>
      </w:pPr>
      <w:r>
        <w:rPr>
          <w:b/>
        </w:rPr>
        <w:t>Банк семейств.</w:t>
      </w:r>
      <w:r>
        <w:rPr/>
        <w:t xml:space="preserve"> Тема одной сложности — семейство; в банке `product/validation_sim/data/bank.json` 288 семейств (6 специализаций × 4 грейда × 12). Тексты — 216 вопросов каталога `product/matching/stems.py`. Длины вариантов ответа выровнены: верный ответ самый длинный в 30% вопросов, поэтому приём «выбирай самый длинный» не работает.</w:t>
      </w:r>
    </w:p>
    <w:p>
      <w:pPr>
        <w:pStyle w:val="ListBullet"/>
      </w:pPr>
      <w:r>
        <w:rPr>
          <w:b/>
        </w:rPr>
        <w:t>Свой вариант по единому плану.</w:t>
      </w:r>
      <w:r>
        <w:rPr/>
        <w:t xml:space="preserve"> Тест на грейд g — 12 вопросов: 3 уровня ниже, 6 уровня g, 3 уровня выше (у junior и lead недостающие позиции добираются своим уровнем). Темы и сложность у всех одинаковые, конкретные вопросы и порядок — свои. Пересдача берёт другие темы, частота показа выравнивается по платформе.</w:t>
      </w:r>
    </w:p>
    <w:p>
      <w:pPr>
        <w:pStyle w:val="ListBullet"/>
      </w:pPr>
      <w:r>
        <w:rPr>
          <w:b/>
        </w:rPr>
        <w:t>Ключ только на сервере.</w:t>
      </w:r>
      <w:r>
        <w:rPr/>
        <w:t xml:space="preserve"> Варианты ответа перемешаны и получают одноразовые id; ключ лежит в записи попытки (`test_attempts.form_json`) и в API не уходит. Буквы правильного ответа нет.</w:t>
      </w:r>
    </w:p>
    <w:p>
      <w:pPr>
        <w:pStyle w:val="ListBullet"/>
      </w:pPr>
      <w:r>
        <w:rPr>
          <w:b/>
        </w:rPr>
        <w:t>Формат «оцените каждый вариант».</w:t>
      </w:r>
      <w:r>
        <w:rPr/>
        <w:t xml:space="preserve"> Кандидат отмечает каждый из трёх вариантов «верно» или «неверно»; вопрос засчитан, только если все три оценки правильные. Угадать — 1 из 8, а не 1 из 3. Вопросы идут по одному, вернуться к отвеченному нельзя, ответ сохраняется сразу.</w:t>
      </w:r>
    </w:p>
    <w:p>
      <w:pPr>
        <w:pStyle w:val="ListBullet"/>
      </w:pPr>
      <w:r>
        <w:rPr>
          <w:b/>
        </w:rPr>
        <w:t>Оценка уровня.</w:t>
      </w:r>
      <w:r>
        <w:rPr/>
        <w:t xml:space="preserve"> Уровень θ считается по модели IRT с учётом сложности каждого вопроса — разные варианты сравнимы. Если результат у границы грейдов (вероятность 15–85%), тест добавляет блок из вопросов сложности этой границы (до трёх блоков).</w:t>
      </w:r>
    </w:p>
    <w:p>
      <w:pPr>
        <w:pStyle w:val="ListBullet"/>
      </w:pPr>
      <w:r>
        <w:rPr>
          <w:b/>
        </w:rPr>
        <w:t>Решение.</w:t>
      </w:r>
      <w:r>
        <w:rPr/>
        <w:t xml:space="preserve"> Грейд подтверждается при уверенности не ниже 60% (осторожный порог: завысить хуже, чем занизить). Итог — `confirm`, `suggest_higher` или `suggest_lower`; принудительного понижения нет. Ответы двух предыдущих попыток этой специализации учитываются (накопление), поэтому цепочка «тест → ниже/выше» не начинается с нуля.</w:t>
      </w:r>
    </w:p>
    <w:p>
      <w:pPr>
        <w:pStyle w:val="ListBullet"/>
      </w:pPr>
      <w:r>
        <w:rPr>
          <w:b/>
        </w:rPr>
        <w:t>Результат с уверенностью.</w:t>
      </w:r>
      <w:r>
        <w:rPr/>
        <w:t xml:space="preserve"> Кроме итога тест сообщает уверенность, статус «уверенно» или «у границы» и положение в грейде (нижняя, средняя, верхняя треть). Порог «уверенно» (0.9) и выведенные слабые темы (32 из 216) получены на отдельной пилотной группе — `product/validation_sim/data/pilot_live.json`.</w:t>
      </w:r>
    </w:p>
    <w:p>
      <w:r>
        <w:rPr/>
        <w:t>Смена грейда. Соседний грейд сдаётся отдельной попыткой и только если последняя попытка записанной пары предложила именно этот шаг. Повтор ограничен интервалом из правил: на стенде 90 дней. Интервал держится на повторной смене после того, как тест уже записал новый грейд. Первая соседняя попытка вверх после `suggest_higher` и вниз после `suggest_lower` интервал не ждёт, пока соседний `confirm` не сдвинул записанный грейд (Q&amp;A: «провал и уход ниже — без сжигания попытки»). Повтор теста записанного грейда интервал не ждёт. Записанный грейд меняет лишь соседняя попытка с итогом `confirm`.</w:t>
      </w:r>
    </w:p>
    <w:p>
      <w:r>
        <w:rPr/>
        <w:t>Несколько описаний вакансий (`product/matching/vacancies/samples.json`) показывают, как вакансия превращается в тест: она задаёт специализацию и грейд, а план 3/6/3 — какие уровни войдут в вариант. Текст вакансии вопросы не выбирает.</w:t>
      </w:r>
    </w:p>
    <w:p>
      <w:pPr>
        <w:pStyle w:val="Heading1"/>
      </w:pPr>
      <w:r>
        <w:t>Подбор и категоризация</w:t>
      </w:r>
    </w:p>
    <w:p>
      <w:r>
        <w:rPr/>
        <w:t>Категория — специализация и записанный грейд, например `backend:middle`. Отрасль MVP только `it`: она видна в статусе профиля и в `category_id` не входит. Версия правил — `v1`. Рядом хранится короткое объяснение, почему категория такая.</w:t>
      </w:r>
    </w:p>
    <w:p>
      <w:r>
        <w:rPr/>
        <w:t>Ранг внутри категории — один проход `evaluate_need`: кортеж совпадений (стек, роль, формат, признак ФСП, токены текста) и затем `rank_key` `confirmed-score-count-prize-id`. Отдельных баллов за фильтры нет. Пустая потребность оставляет нули в кортеже и прежний порядок. Подходящих не скрываем. В выдаче работодателя опубликованный профиль совпавшей категории; без теста или с проваленным тестом (`suggest_lower`) карточка со статусом «не подтверждён» и ниже подтверждённых той же категории через префикс `rank_key`; у подтверждённых карточка показывает «подтверждён уверенно» или «подтверждён, у границы», уверенность и положение в грейде; без `publication` карточки нет. Фильтр добавляет стек, роль, формат и признак достижений. Поиск по банку кандидатов (ТЗ §2.1) работает и без категории: `GET /api/employer/candidates` без `category_id` выдаёт все опубликованные профили, специализация и грейд сужают поиск по отдельности, порядок — тот же `evaluate_need`. На карточке фраза из того же прохода, почему этот человек попал в потребность, и следом сравнение с соседней карточкой: подтверждён, балл, число достижений, приз. Сырой rank_key на карточке не показан. Сортировка, ключ, доля в топе и балл грейда от этого не меняются. Резюме пишет узнанные поля с пометкой `source=resume` и пересчитывает категорию тем же правилом, что и анкета. После записанного итога теста PDF грейд не меняет. Разряд ФСП хранится строкой источника и в категорию не переводится.</w:t>
      </w:r>
    </w:p>
    <w:p>
      <w:r>
        <w:rPr/>
        <w:t>Приглашение работодатель отправляет с карточки подборки: номер профиля и категория подставляются скрытыми полями. В форме — текст, название компании, способ связи компании и вилка в рублях до вычета НДФЛ. Нужны обе границы, верхняя строго больше нижней, валюта RUB. Способ связи компании соискатель видит сразу. Почта соискателя появляется у работодателя отдельным полем только после `accepted`. Открытие приглашения переводит `sent` в `seen`. Чужие доски не разбираются.</w:t>
      </w:r>
    </w:p>
    <w:p>
      <w:pPr>
        <w:pStyle w:val="Heading1"/>
      </w:pPr>
      <w:r>
        <w:t>Валидация</w:t>
      </w:r>
    </w:p>
    <w:p>
      <w:r>
        <w:rPr/>
        <w:t>Прогон читает золотой набор из git и в сеть не ходит. Валидация жюри — CPU-персоны в том же `GET /validation`, без инференса и без GPU. Ожидаемые категорию, итог теста и отметку релевантности разметил человек. Функции категории и прогона эти поля не заполняют. На стенде это одно действие: ссылка «Прогон валидации», `GET /validation`, ответ `text/plain`. Порога, ниже которого прогон считается проваленным по проценту, нет.</w:t>
      </w:r>
    </w:p>
    <w:p>
      <w:r>
        <w:rPr/>
        <w:t>Ниже пять строк прогона `python -m product.matching.golden_run` от 2026-10-10. Повтор запуска их не меняет: варианты теста в прогоне собираются с фиксированным seed. Набор в git: 38 синтетических профилей, 12 потребностей (`top_k=3`), 24 пары «специализация × грейд» для теста, 4 PDF резюме. Это числа запуска, не цель. Строка `grade_separation` — сколько вопросов каталога разделяют грейды и сколько всего; порога по ней нет. После неё — три строки CPU-персон на том же тесте, что в кабинете, без GPU: `sim_competent 72 72`, `sim_key_leak 3 72`, `sim_adjacent 0 72`; порога нет.</w:t>
      </w:r>
    </w:p>
    <w:p>
      <w:r>
        <w:rPr>
          <w:rFonts w:ascii="Courier New" w:hAnsi="Courier New"/>
          <w:sz w:val="20"/>
        </w:rPr>
        <w:t>category_match 38 38</w:t>
      </w:r>
    </w:p>
    <w:p>
      <w:r>
        <w:rPr>
          <w:rFonts w:ascii="Courier New" w:hAnsi="Courier New"/>
          <w:sz w:val="20"/>
        </w:rPr>
        <w:t>outcome_match 72 72</w:t>
      </w:r>
    </w:p>
    <w:p>
      <w:r>
        <w:rPr>
          <w:rFonts w:ascii="Courier New" w:hAnsi="Courier New"/>
          <w:sz w:val="20"/>
        </w:rPr>
        <w:t>form_stable 24 24</w:t>
      </w:r>
    </w:p>
    <w:p>
      <w:r>
        <w:rPr>
          <w:rFonts w:ascii="Courier New" w:hAnsi="Courier New"/>
          <w:sz w:val="20"/>
        </w:rPr>
        <w:t>relevant_in_top 23 24</w:t>
      </w:r>
    </w:p>
    <w:p>
      <w:r>
        <w:rPr>
          <w:rFonts w:ascii="Courier New" w:hAnsi="Courier New"/>
          <w:sz w:val="20"/>
        </w:rPr>
        <w:t>resume_ok 4 4</w:t>
      </w:r>
    </w:p>
    <w:p>
      <w:r>
        <w:rPr/>
        <w:t>Первое число строки — сколько совпало или оказалось в топе, второе — сколько элементов было в запуске. Смысл строк:</w:t>
      </w:r>
    </w:p>
    <w:p>
      <w:pPr>
        <w:pStyle w:val="ListBullet"/>
      </w:pPr>
      <w:r>
        <w:rPr/>
        <w:t>`category_match` — сколько профилей получили ожидаемую категорию;</w:t>
      </w:r>
    </w:p>
    <w:p>
      <w:pPr>
        <w:pStyle w:val="ListBullet"/>
      </w:pPr>
      <w:r>
        <w:rPr/>
        <w:t>`outcome_match` — на вариантах теста ответы «сданы уровни до выше / до своего / только ниже» дали ожидаемый итог (`suggest_higher` / `confirm` / `suggest_lower`);</w:t>
      </w:r>
    </w:p>
    <w:p>
      <w:pPr>
        <w:pStyle w:val="ListBullet"/>
      </w:pPr>
      <w:r>
        <w:rPr/>
        <w:t>`form_stable` — тот же вариант и те же ответы дали тот же итог и ту же оценку;</w:t>
      </w:r>
    </w:p>
    <w:p>
      <w:pPr>
        <w:pStyle w:val="ListBullet"/>
      </w:pPr>
      <w:r>
        <w:rPr/>
        <w:t>`relevant_in_top` — сколько отмеченных релевантными попали в топ слотов этого запуска;</w:t>
      </w:r>
    </w:p>
    <w:p>
      <w:pPr>
        <w:pStyle w:val="ListBullet"/>
      </w:pPr>
      <w:r>
        <w:rPr/>
        <w:t>`resume_ok` — сколько PDF разобрались без падения процесса;</w:t>
      </w:r>
    </w:p>
    <w:p>
      <w:pPr>
        <w:pStyle w:val="ListBullet"/>
      </w:pPr>
      <w:r>
        <w:rPr/>
        <w:t>`grade_separation` — сколько вопросов разделяют грейды и сколько вопросов в каталоге. Это не порог и в блок выше не входит;</w:t>
      </w:r>
    </w:p>
    <w:p>
      <w:pPr>
        <w:pStyle w:val="ListBullet"/>
      </w:pPr>
      <w:r>
        <w:rPr/>
        <w:t>`sim_competent`, `sim_key_leak`, `sim_adjacent` — CPU-персоны того же GET на 72 вариантах теста (24 пары × 3): знает всё до своего уровня; выучил чужой ключ по позициям вариантов; истинный уровень на ступень ниже заявленного. «Сдал» — тест подтвердил грейд или предложил выше. Порога нет.</w:t>
      </w:r>
    </w:p>
    <w:p>
      <w:pPr>
        <w:pStyle w:val="Heading2"/>
      </w:pPr>
      <w:r>
        <w:t>Симуляция на 500 синтетических кандидатах</w:t>
      </w:r>
    </w:p>
    <w:p>
      <w:r>
        <w:rPr/>
        <w:t>Пакет `product/validation_sim` проверяет механику на 500 синтетических кандидатах с известным истинным грейдом (`data/candidates.csv`, `data/candidates.json`). Тест платформы сравнивается с эталоном «единый набор заданий» — от такого подхода предостерегает ТЗ §2 (3 вопроса, общий для всех ключ b-c-a). Вторая колонка платформы — тот же тест, когда в банк добавят вопросы форматов multi / order / numeric. Ответы моделируются IRT с ошибкой калибровки сложности; порог «уверенно» подобран на отдельной пилотной группе. Для платформы — среднее по 5 прогонам, в скобках мин–макс.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Единый набор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Платформа + форматы</w:t>
            </w:r>
          </w:p>
        </w:tc>
      </w:tr>
      <w:tr>
        <w:tc>
          <w:tcPr>
            <w:tcW w:type="dxa" w:w="2160"/>
          </w:tcPr>
          <w:p>
            <w:r>
              <w:rPr/>
              <w:t>Грейд совпал с истинным</w:t>
            </w:r>
          </w:p>
        </w:tc>
        <w:tc>
          <w:tcPr>
            <w:tcW w:type="dxa" w:w="2160"/>
          </w:tcPr>
          <w:p>
            <w:r>
              <w:rPr/>
              <w:t>58%</w:t>
            </w:r>
          </w:p>
        </w:tc>
        <w:tc>
          <w:tcPr>
            <w:tcW w:type="dxa" w:w="2160"/>
          </w:tcPr>
          <w:p>
            <w:r>
              <w:rPr/>
              <w:t>82% (79–84)</w:t>
            </w:r>
          </w:p>
        </w:tc>
        <w:tc>
          <w:tcPr>
            <w:tcW w:type="dxa" w:w="2160"/>
          </w:tcPr>
          <w:p>
            <w:r>
              <w:rPr/>
              <w:t>83% (82–85)</w:t>
            </w:r>
          </w:p>
        </w:tc>
      </w:tr>
      <w:tr>
        <w:tc>
          <w:tcPr>
            <w:tcW w:type="dxa" w:w="2160"/>
          </w:tcPr>
          <w:p>
            <w:r>
              <w:rPr/>
              <w:t>Точность среди «уверенно»</w:t>
            </w:r>
          </w:p>
        </w:tc>
        <w:tc>
          <w:tcPr>
            <w:tcW w:type="dxa" w:w="2160"/>
          </w:tcPr>
          <w:p>
            <w:r>
              <w:rPr/>
              <w:t>—</w:t>
            </w:r>
          </w:p>
        </w:tc>
        <w:tc>
          <w:tcPr>
            <w:tcW w:type="dxa" w:w="2160"/>
          </w:tcPr>
          <w:p>
            <w:r>
              <w:rPr/>
              <w:t>92.7% (91–96)</w:t>
            </w:r>
          </w:p>
        </w:tc>
        <w:tc>
          <w:tcPr>
            <w:tcW w:type="dxa" w:w="2160"/>
          </w:tcPr>
          <w:p>
            <w:r>
              <w:rPr/>
              <w:t>92.3% (90–95)</w:t>
            </w:r>
          </w:p>
        </w:tc>
      </w:tr>
      <w:tr>
        <w:tc>
          <w:tcPr>
            <w:tcW w:type="dxa" w:w="2160"/>
          </w:tcPr>
          <w:p>
            <w:r>
              <w:rPr/>
              <w:t>Доля «уверенно»</w:t>
            </w:r>
          </w:p>
        </w:tc>
        <w:tc>
          <w:tcPr>
            <w:tcW w:type="dxa" w:w="2160"/>
          </w:tcPr>
          <w:p>
            <w:r>
              <w:rPr/>
              <w:t>—</w:t>
            </w:r>
          </w:p>
        </w:tc>
        <w:tc>
          <w:tcPr>
            <w:tcW w:type="dxa" w:w="2160"/>
          </w:tcPr>
          <w:p>
            <w:r>
              <w:rPr/>
              <w:t>24%</w:t>
            </w:r>
          </w:p>
        </w:tc>
        <w:tc>
          <w:tcPr>
            <w:tcW w:type="dxa" w:w="2160"/>
          </w:tcPr>
          <w:p>
            <w:r>
              <w:rPr/>
              <w:t>45%</w:t>
            </w:r>
          </w:p>
        </w:tc>
      </w:tr>
      <w:tr>
        <w:tc>
          <w:tcPr>
            <w:tcW w:type="dxa" w:w="2160"/>
          </w:tcPr>
          <w:p>
            <w:r>
              <w:rPr/>
              <w:t>Ошибка больше чем на ступень</w:t>
            </w:r>
          </w:p>
        </w:tc>
        <w:tc>
          <w:tcPr>
            <w:tcW w:type="dxa" w:w="2160"/>
          </w:tcPr>
          <w:p>
            <w:r>
              <w:rPr/>
              <w:t>2.4%</w:t>
            </w:r>
          </w:p>
        </w:tc>
        <w:tc>
          <w:tcPr>
            <w:tcW w:type="dxa" w:w="2160"/>
          </w:tcPr>
          <w:p>
            <w:r>
              <w:rPr/>
              <w:t>0%</w:t>
            </w:r>
          </w:p>
        </w:tc>
        <w:tc>
          <w:tcPr>
            <w:tcW w:type="dxa" w:w="2160"/>
          </w:tcPr>
          <w:p>
            <w:r>
              <w:rPr/>
              <w:t>0%</w:t>
            </w:r>
          </w:p>
        </w:tc>
      </w:tr>
      <w:tr>
        <w:tc>
          <w:tcPr>
            <w:tcW w:type="dxa" w:w="2160"/>
          </w:tcPr>
          <w:p>
            <w:r>
              <w:rPr/>
              <w:t>Грейд завышен</w:t>
            </w:r>
          </w:p>
        </w:tc>
        <w:tc>
          <w:tcPr>
            <w:tcW w:type="dxa" w:w="2160"/>
          </w:tcPr>
          <w:p>
            <w:r>
              <w:rPr/>
              <w:t>34%</w:t>
            </w:r>
          </w:p>
        </w:tc>
        <w:tc>
          <w:tcPr>
            <w:tcW w:type="dxa" w:w="2160"/>
          </w:tcPr>
          <w:p>
            <w:r>
              <w:rPr/>
              <w:t>8%</w:t>
            </w:r>
          </w:p>
        </w:tc>
        <w:tc>
          <w:tcPr>
            <w:tcW w:type="dxa" w:w="2160"/>
          </w:tcPr>
          <w:p>
            <w:r>
              <w:rPr/>
              <w:t>8%</w:t>
            </w:r>
          </w:p>
        </w:tc>
      </w:tr>
      <w:tr>
        <w:tc>
          <w:tcPr>
            <w:tcW w:type="dxa" w:w="2160"/>
          </w:tcPr>
          <w:p>
            <w:r>
              <w:rPr/>
              <w:t>Тот же грейд при пересдаче</w:t>
            </w:r>
          </w:p>
        </w:tc>
        <w:tc>
          <w:tcPr>
            <w:tcW w:type="dxa" w:w="2160"/>
          </w:tcPr>
          <w:p>
            <w:r>
              <w:rPr/>
              <w:t>51%</w:t>
            </w:r>
          </w:p>
        </w:tc>
        <w:tc>
          <w:tcPr>
            <w:tcW w:type="dxa" w:w="2160"/>
          </w:tcPr>
          <w:p>
            <w:r>
              <w:rPr/>
              <w:t>75%</w:t>
            </w:r>
          </w:p>
        </w:tc>
        <w:tc>
          <w:tcPr>
            <w:tcW w:type="dxa" w:w="2160"/>
          </w:tcPr>
          <w:p>
            <w:r>
              <w:rPr/>
              <w:t>76%</w:t>
            </w:r>
          </w:p>
        </w:tc>
      </w:tr>
      <w:tr>
        <w:tc>
          <w:tcPr>
            <w:tcW w:type="dxa" w:w="2160"/>
          </w:tcPr>
          <w:p>
            <w:r>
              <w:rPr/>
              <w:t>Сдали ступень выше своей без утечки</w:t>
            </w:r>
          </w:p>
        </w:tc>
        <w:tc>
          <w:tcPr>
            <w:tcW w:type="dxa" w:w="2160"/>
          </w:tcPr>
          <w:p>
            <w:r>
              <w:rPr/>
              <w:t>58%</w:t>
            </w:r>
          </w:p>
        </w:tc>
        <w:tc>
          <w:tcPr>
            <w:tcW w:type="dxa" w:w="2160"/>
          </w:tcPr>
          <w:p>
            <w:r>
              <w:rPr/>
              <w:t>10%</w:t>
            </w:r>
          </w:p>
        </w:tc>
        <w:tc>
          <w:tcPr>
            <w:tcW w:type="dxa" w:w="2160"/>
          </w:tcPr>
          <w:p>
            <w:r>
              <w:rPr/>
              <w:t>9%</w:t>
            </w:r>
          </w:p>
        </w:tc>
      </w:tr>
      <w:tr>
        <w:tc>
          <w:tcPr>
            <w:tcW w:type="dxa" w:w="2160"/>
          </w:tcPr>
          <w:p>
            <w:r>
              <w:rPr/>
              <w:t>Сдали, зная ключ b-c-a / выбирая самый длинный ответ</w:t>
            </w:r>
          </w:p>
        </w:tc>
        <w:tc>
          <w:tcPr>
            <w:tcW w:type="dxa" w:w="2160"/>
          </w:tcPr>
          <w:p>
            <w:r>
              <w:rPr/>
              <w:t>100% / 26%</w:t>
            </w:r>
          </w:p>
        </w:tc>
        <w:tc>
          <w:tcPr>
            <w:tcW w:type="dxa" w:w="2160"/>
          </w:tcPr>
          <w:p>
            <w:r>
              <w:rPr/>
              <w:t>5% / 1%</w:t>
            </w:r>
          </w:p>
        </w:tc>
        <w:tc>
          <w:tcPr>
            <w:tcW w:type="dxa" w:w="2160"/>
          </w:tcPr>
          <w:p>
            <w:r>
              <w:rPr/>
              <w:t>0% / 0%</w:t>
            </w:r>
          </w:p>
        </w:tc>
      </w:tr>
    </w:tbl>
    <w:p>
      <w:r>
        <w:rPr/>
        <w:t>Точность среди «уверенно» близка к цели 93%, доля таких решений в кабинете — 24%: с 216 вопросами формата «оцените каждый вариант» тест у границы грейдов чаще говорит «у границы». С вопросами, которые трудно угадать, доля вырастает примерно до 45%. Пограничный кандидат не скрывается — работодатель видит его со статусом.</w:t>
      </w:r>
    </w:p>
    <w:p>
      <w:r>
        <w:rPr/>
        <w:t>Запуск: `python -m product.validation_sim.run`. Таблицы — `product/validation_sim/out/report.md`, графики — `out/validation_charts.png`, описание и допущения — `product/validation_sim/README.md`.</w:t>
      </w:r>
    </w:p>
    <w:p>
      <w:pPr>
        <w:pStyle w:val="Heading1"/>
      </w:pPr>
      <w:r>
        <w:t>Будущая интеграция с реестром ФСП</w:t>
      </w:r>
    </w:p>
    <w:p>
      <w:r>
        <w:rPr/>
        <w:t>Кабинеты зависят от интерфейса `FspClient`. На стенде это чтение `participants.json`. Боевого коннектора реестра нет. Стенд поднимает локальный реалм Keycloak. Кандидат, уже вошедший по почте, связывает `external_id` из claim `fsp_external_id` или `sub`. Секрета боевой ФСП нет. На схеме локальный Keycloak — сплошной узел стенда, issuer заказчика — пунктир.</w:t>
      </w:r>
    </w:p>
    <w:p>
      <w:r>
        <w:rPr>
          <w:rFonts w:ascii="Courier New" w:hAnsi="Courier New"/>
          <w:sz w:val="20"/>
        </w:rPr>
        <w:t>flowchart LR</w:t>
      </w:r>
    </w:p>
    <w:p>
      <w:r>
        <w:rPr>
          <w:rFonts w:ascii="Courier New" w:hAnsi="Courier New"/>
          <w:sz w:val="20"/>
        </w:rPr>
        <w:t xml:space="preserve">  app[Сервисы кабинетов] --&gt; client[FspClient]</w:t>
      </w:r>
    </w:p>
    <w:p>
      <w:r>
        <w:rPr>
          <w:rFonts w:ascii="Courier New" w:hAnsi="Courier New"/>
          <w:sz w:val="20"/>
        </w:rPr>
        <w:t xml:space="preserve">  client --&gt; json[JsonFspClient на стенде]</w:t>
      </w:r>
    </w:p>
    <w:p>
      <w:r>
        <w:rPr>
          <w:rFonts w:ascii="Courier New" w:hAnsi="Courier New"/>
          <w:sz w:val="20"/>
        </w:rPr>
        <w:t xml:space="preserve">  client -.-&gt; http[Будущая реализация HTTP реестра]</w:t>
      </w:r>
    </w:p>
    <w:p>
      <w:r>
        <w:rPr>
          <w:rFonts w:ascii="Courier New" w:hAnsi="Courier New"/>
          <w:sz w:val="20"/>
        </w:rPr>
        <w:t xml:space="preserve">  app --&gt; kc[Локальный Keycloak на стенде]</w:t>
      </w:r>
    </w:p>
    <w:p>
      <w:r>
        <w:rPr>
          <w:rFonts w:ascii="Courier New" w:hAnsi="Courier New"/>
          <w:sz w:val="20"/>
        </w:rPr>
        <w:t xml:space="preserve">  kc -.-&gt; issuer[Issuer заказчика]</w:t>
      </w:r>
    </w:p>
    <w:p>
      <w:pPr>
        <w:pStyle w:val="Heading1"/>
      </w:pPr>
      <w:r>
        <w:t>API</w:t>
      </w:r>
    </w:p>
    <w:p>
      <w:r>
        <w:rPr/>
        <w:t>Методы, тела, ответы и примеры ошибок лежат в `product/openapi.json`. На стенде те же страницы открываются в `/docs` и `/redoc` без интернета: статика Swagger UI 5.33.1 и ReDoc 2.5.4 лежит в репозитории. Схема безопасности — cookie `product_session`. Без входа закрытый метод отвечает 401. Пароли и коды подтверждения хранятся как хэш Argon2. Код подтверждения сбрасывается после 5 ошибок; вход по паролю после 5 неверных паролей подряд закрыт на 15 минут (429 `login_locked`), счётчик ведётся и для незарегистрированных адресов, поэтому ответ не раскрывает, есть ли учётная запись (ТЗ §3.5 «защита от несанкционированного доступа»). Без сессии доступны регистрация, подтверждение кода, повтор кода и вход.</w:t>
      </w:r>
    </w:p>
    <w:p>
      <w:r>
        <w:rPr/>
        <w:t>Группы маршрутов: `/api/auth`, профиль и достижения соискателя, тест (старт, сдача ответов — при результате у границы ответ `status: "extra"` с дополнительными вопросами, история с уверенностью и статусом), резюме и PDF профиля, категория и выдача работодателя (по категории или по всей базе), карточка компании, приглашения, вакансии и отклик (`/api/vacancies`, отклик, одно короткое задание), `GET /validation`.</w:t>
      </w:r>
    </w:p>
    <w:p>
      <w:pPr>
        <w:pStyle w:val="Heading1"/>
      </w:pPr>
      <w:r>
        <w:t>Библиотеки</w:t>
      </w:r>
    </w:p>
    <w:p>
      <w:r>
        <w:rPr/>
        <w:t>Список снят `pip freeze` внутри образа `fsp-vacancies:local` на Python 3.12 и записан в `product/requirements.lock`. Строка `fsp-vacancies @ file:///srv/product` — так pip называет пакет, поставленный из дерева образа. Версия пакета в `product/pyproject.toml` — 1.4.0.</w:t>
      </w:r>
    </w:p>
    <w:p>
      <w:r>
        <w:rPr/>
        <w:t>Прямые зависимости образа: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Пакет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</w:t>
            </w:r>
          </w:p>
        </w:tc>
      </w:tr>
      <w:tr>
        <w:tc>
          <w:tcPr>
            <w:tcW w:type="dxa" w:w="4320"/>
          </w:tcPr>
          <w:p>
            <w:r>
              <w:rPr/>
              <w:t>fastapi</w:t>
            </w:r>
          </w:p>
        </w:tc>
        <w:tc>
          <w:tcPr>
            <w:tcW w:type="dxa" w:w="4320"/>
          </w:tcPr>
          <w:p>
            <w:r>
              <w:rPr/>
              <w:t>0.142.2</w:t>
            </w:r>
          </w:p>
        </w:tc>
      </w:tr>
      <w:tr>
        <w:tc>
          <w:tcPr>
            <w:tcW w:type="dxa" w:w="4320"/>
          </w:tcPr>
          <w:p>
            <w:r>
              <w:rPr/>
              <w:t>uvicorn</w:t>
            </w:r>
          </w:p>
        </w:tc>
        <w:tc>
          <w:tcPr>
            <w:tcW w:type="dxa" w:w="4320"/>
          </w:tcPr>
          <w:p>
            <w:r>
              <w:rPr/>
              <w:t>0.54.0</w:t>
            </w:r>
          </w:p>
        </w:tc>
      </w:tr>
      <w:tr>
        <w:tc>
          <w:tcPr>
            <w:tcW w:type="dxa" w:w="4320"/>
          </w:tcPr>
          <w:p>
            <w:r>
              <w:rPr/>
              <w:t>SQLAlchemy</w:t>
            </w:r>
          </w:p>
        </w:tc>
        <w:tc>
          <w:tcPr>
            <w:tcW w:type="dxa" w:w="4320"/>
          </w:tcPr>
          <w:p>
            <w:r>
              <w:rPr/>
              <w:t>2.1.3</w:t>
            </w:r>
          </w:p>
        </w:tc>
      </w:tr>
      <w:tr>
        <w:tc>
          <w:tcPr>
            <w:tcW w:type="dxa" w:w="4320"/>
          </w:tcPr>
          <w:p>
            <w:r>
              <w:rPr/>
              <w:t>Jinja2</w:t>
            </w:r>
          </w:p>
        </w:tc>
        <w:tc>
          <w:tcPr>
            <w:tcW w:type="dxa" w:w="4320"/>
          </w:tcPr>
          <w:p>
            <w:r>
              <w:rPr/>
              <w:t>3.1.6</w:t>
            </w:r>
          </w:p>
        </w:tc>
      </w:tr>
      <w:tr>
        <w:tc>
          <w:tcPr>
            <w:tcW w:type="dxa" w:w="4320"/>
          </w:tcPr>
          <w:p>
            <w:r>
              <w:rPr/>
              <w:t>python-multipart</w:t>
            </w:r>
          </w:p>
        </w:tc>
        <w:tc>
          <w:tcPr>
            <w:tcW w:type="dxa" w:w="4320"/>
          </w:tcPr>
          <w:p>
            <w:r>
              <w:rPr/>
              <w:t>0.0.32</w:t>
            </w:r>
          </w:p>
        </w:tc>
      </w:tr>
      <w:tr>
        <w:tc>
          <w:tcPr>
            <w:tcW w:type="dxa" w:w="4320"/>
          </w:tcPr>
          <w:p>
            <w:r>
              <w:rPr/>
              <w:t>argon2-cffi</w:t>
            </w:r>
          </w:p>
        </w:tc>
        <w:tc>
          <w:tcPr>
            <w:tcW w:type="dxa" w:w="4320"/>
          </w:tcPr>
          <w:p>
            <w:r>
              <w:rPr/>
              <w:t>25.1.0</w:t>
            </w:r>
          </w:p>
        </w:tc>
      </w:tr>
      <w:tr>
        <w:tc>
          <w:tcPr>
            <w:tcW w:type="dxa" w:w="4320"/>
          </w:tcPr>
          <w:p>
            <w:r>
              <w:rPr/>
              <w:t>itsdangerous</w:t>
            </w:r>
          </w:p>
        </w:tc>
        <w:tc>
          <w:tcPr>
            <w:tcW w:type="dxa" w:w="4320"/>
          </w:tcPr>
          <w:p>
            <w:r>
              <w:rPr/>
              <w:t>2.2.0</w:t>
            </w:r>
          </w:p>
        </w:tc>
      </w:tr>
      <w:tr>
        <w:tc>
          <w:tcPr>
            <w:tcW w:type="dxa" w:w="4320"/>
          </w:tcPr>
          <w:p>
            <w:r>
              <w:rPr/>
              <w:t>pypdf</w:t>
            </w:r>
          </w:p>
        </w:tc>
        <w:tc>
          <w:tcPr>
            <w:tcW w:type="dxa" w:w="4320"/>
          </w:tcPr>
          <w:p>
            <w:r>
              <w:rPr/>
              <w:t>6.19.0</w:t>
            </w:r>
          </w:p>
        </w:tc>
      </w:tr>
      <w:tr>
        <w:tc>
          <w:tcPr>
            <w:tcW w:type="dxa" w:w="4320"/>
          </w:tcPr>
          <w:p>
            <w:r>
              <w:rPr/>
              <w:t>reportlab</w:t>
            </w:r>
          </w:p>
        </w:tc>
        <w:tc>
          <w:tcPr>
            <w:tcW w:type="dxa" w:w="4320"/>
          </w:tcPr>
          <w:p>
            <w:r>
              <w:rPr/>
              <w:t>5.0.1</w:t>
            </w:r>
          </w:p>
        </w:tc>
      </w:tr>
      <w:tr>
        <w:tc>
          <w:tcPr>
            <w:tcW w:type="dxa" w:w="4320"/>
          </w:tcPr>
          <w:p>
            <w:r>
              <w:rPr/>
              <w:t>cryptography</w:t>
            </w:r>
          </w:p>
        </w:tc>
        <w:tc>
          <w:tcPr>
            <w:tcW w:type="dxa" w:w="4320"/>
          </w:tcPr>
          <w:p>
            <w:r>
              <w:rPr/>
              <w:t>46.0.7 (в `pyproject.toml` — `&gt;=44,&lt;47`; нужна для проверки подписи токена ФСП ID)</w:t>
            </w:r>
          </w:p>
        </w:tc>
      </w:tr>
      <w:tr>
        <w:tc>
          <w:tcPr>
            <w:tcW w:type="dxa" w:w="4320"/>
          </w:tcPr>
          <w:p>
            <w:r>
              <w:rPr/>
              <w:t>pytest</w:t>
            </w:r>
          </w:p>
        </w:tc>
        <w:tc>
          <w:tcPr>
            <w:tcW w:type="dxa" w:w="4320"/>
          </w:tcPr>
          <w:p>
            <w:r>
              <w:rPr/>
              <w:t>8.4.2</w:t>
            </w:r>
          </w:p>
        </w:tc>
      </w:tr>
      <w:tr>
        <w:tc>
          <w:tcPr>
            <w:tcW w:type="dxa" w:w="4320"/>
          </w:tcPr>
          <w:p>
            <w:r>
              <w:rPr/>
              <w:t>httpx</w:t>
            </w:r>
          </w:p>
        </w:tc>
        <w:tc>
          <w:tcPr>
            <w:tcW w:type="dxa" w:w="4320"/>
          </w:tcPr>
          <w:p>
            <w:r>
              <w:rPr/>
              <w:t>0.28.1</w:t>
            </w:r>
          </w:p>
        </w:tc>
      </w:tr>
    </w:tbl>
    <w:p>
      <w:r>
        <w:rPr/>
        <w:t>pytest и httpx нужны прогону тестов в том же образе, не отдельному хостовому окружению. Транзитивные пакеты — в lock-файле, среди них starlette 1.7.0, pydantic 2.13.5, pillow 12.3.0.</w:t>
      </w:r>
    </w:p>
    <w:p>
      <w:r>
        <w:rPr/>
        <w:t>Рядом, не как пакеты Python: htmx (Zero-Clause BSD, локальный файл), Swagger UI 5.33.1 (Apache-2.0), ReDoc 2.5.4 (MIT), шрифт JetBrains Mono (SIL Open Font License 1.1).</w:t>
      </w:r>
    </w:p>
    <w:p>
      <w:pPr>
        <w:pStyle w:val="Heading1"/>
      </w:pPr>
      <w:r>
        <w:t>Сборка и запуск</w:t>
      </w:r>
    </w:p>
    <w:p>
      <w:r>
        <w:rPr/>
        <w:t>На хосте заранее стоят только Docker Engine и плагин Compose. Язык, пакеты и база продукта на хост не ставятся. Копировать `compose.env` не нужно: если `PRODUCT_SECRET` короче 32 символов, точка входа пишет секрет в том `/data/product_secret`. Свой секрет можно положить в `deploy/fsp/compose.env` по образцу `compose.env.example`; файл в git не входит.</w:t>
      </w:r>
    </w:p>
    <w:p>
      <w:r>
        <w:rPr>
          <w:rFonts w:ascii="Courier New" w:hAnsi="Courier New"/>
          <w:sz w:val="20"/>
        </w:rPr>
        <w:t>docker compose -f deploy/fsp/compose.yaml up --build</w:t>
      </w:r>
    </w:p>
    <w:p>
      <w:r>
        <w:rPr/>
        <w:t>Образ собирается из `python:3.12-slim`. Зависимости ставит `pip` внутри Dockerfile. Точка входа при необходимости пишет секрет, выполняет `python -m product.seed`, затем uvicorn на порту 8000. Клиент, API и файл базы — этот процесс и том. Контейнер Keycloak слушает `127.0.0.1:8080` и не блокирует старт uvicorn. Keycloak, Pango и Node в образ приложения не входят. Кабинеты: `http://127.0.0.1:8000`.</w:t>
      </w:r>
    </w:p>
    <w:p>
      <w:r>
        <w:rPr/>
        <w:t>Проверка тестов:</w:t>
      </w:r>
    </w:p>
    <w:p>
      <w:r>
        <w:rPr>
          <w:rFonts w:ascii="Courier New" w:hAnsi="Courier New"/>
          <w:sz w:val="20"/>
        </w:rPr>
        <w:t>docker compose -f deploy/fsp/compose.yaml --profile test run --rm tests</w:t>
      </w:r>
    </w:p>
    <w:p>
      <w:r>
        <w:rPr/>
        <w:t>Прогон валидации второй командой не запускается. Его нажимают на стенде после четырёх шагов из `track/lct-fsp-vacancies/demo.md`.</w:t>
      </w:r>
    </w:p>
    <w:p>
      <w:pPr>
        <w:pStyle w:val="Heading1"/>
      </w:pPr>
      <w:r>
        <w:t>Модерация и ATS</w:t>
      </w:r>
    </w:p>
    <w:p>
      <w:r>
        <w:rPr/>
        <w:t>На стенде вакансия есть и публикуется сразу со статусом `published`. Очереди `draft` → `in_review` нет: это по-прежнему концепция, не код. Когда появится модерация, новая строка не станет публичной сразу. Очередь концепции: `draft` → `in_review` → `published` или `rejected`. Публикует модератор стенда, не автор карточки. Отклик и одно короткое задание на вакансию есть и в испытание грейда не входят. Вебхука ATS, проверки ИНН и бейджа юрлица нет.</w:t>
      </w:r>
    </w:p>
    <w:p>
      <w:r>
        <w:rPr/>
        <w:t>Фиктивной в этой концепции считаем вакансию без карточки компании, без способа связи, с вилкой где max не больше min, с валютой не RUB, с текстом из одной внешней ссылки, с копией уже опубликованной строки или с ролью, которая не совпадает с заявленным направлением. Такая строка не выходит в выдачу и не попадает в выгрузку.</w:t>
      </w:r>
    </w:p>
    <w:p>
      <w:r>
        <w:rPr/>
        <w:t>Контракт выгрузки в ATS — снимок, не вебхук: идентификатор профиля, категория, итог теста, статус приглашения. Работодатель забирает файл или тянет тот же JSON. Входящего webhook нет, Huntflow и 1С на стенде не вызываем, ИНН и бейдж ЕГРЮЛ не проверяем (на MVP не требуется). Пункт ТЗ «будет плюсом» и критерий 7% закрываются этой схемой, не живой интеграцией.</w:t>
      </w:r>
    </w:p>
    <w:p>
      <w:pPr>
        <w:pStyle w:val="Heading1"/>
      </w:pPr>
      <w:r>
        <w:t>Что сознательно не вошло</w:t>
      </w:r>
    </w:p>
    <w:p>
      <w:r>
        <w:rPr/>
        <w:t>Публичного URL нет. Кабинеты после compose — `http://127.0.0.1:8000`. Эксперты без Docker смотрят скрины и видео презентации. Вакансия, отклик и одно короткое задание на стенде есть и в испытание грейда не входят. Вебхука ATS, проверки ИНН и бейджа юрлица нет. Адаптив под телефон обязательный путь не закрывает и этот стенд не блокирует.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JetBrains Mono">
    <w:charset w:val="00"/>
    <w:family w:val="modern"/>
    <w:pitch w:val="fixed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etBrains Mono" w:hAnsi="JetBrains Mono" w:cs="JetBrains Mono" w:eastAsia="JetBrains Mono"/>
      <w:color w:val="1B1C2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JetBrains Mono" w:hAnsi="JetBrains Mono" w:cs="JetBrains Mono" w:eastAsia="JetBrains Mono"/>
      <w:b/>
      <w:bCs/>
      <w:color w:val="402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JetBrains Mono" w:hAnsi="JetBrains Mono" w:cs="JetBrains Mono" w:eastAsia="JetBrains Mono"/>
      <w:b/>
      <w:bCs/>
      <w:color w:val="402FF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JetBrains Mono" w:hAnsi="JetBrains Mono" w:cs="JetBrains Mono" w:eastAsia="JetBrains Mono"/>
      <w:b/>
      <w:bCs/>
      <w:color w:val="402FFF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JetBrains Mono" w:hAnsi="JetBrains Mono" w:cs="JetBrains Mono" w:eastAsia="JetBrains Mono"/>
      <w:b/>
      <w:bCs/>
      <w:i/>
      <w:iCs/>
      <w:color w:val="402FF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JetBrains Mono" w:hAnsi="JetBrains Mono" w:cs="JetBrains Mono" w:eastAsia="JetBrains Mono"/>
      <w:color w:val="402FFF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JetBrains Mono" w:hAnsi="JetBrains Mono" w:cs="JetBrains Mono" w:eastAsia="JetBrains Mono"/>
      <w:i/>
      <w:iCs/>
      <w:color w:val="402FF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JetBrains Mono" w:hAnsi="JetBrains Mono" w:cs="JetBrains Mono" w:eastAsia="JetBrains Mon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JetBrains Mono" w:hAnsi="JetBrains Mono" w:cs="JetBrains Mono" w:eastAsia="JetBrains Mono"/>
      <w:color w:val="402FFF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JetBrains Mono" w:hAnsi="JetBrains Mono" w:cs="JetBrains Mono" w:eastAsia="JetBrains Mon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JetBrains Mono" w:hAnsi="JetBrains Mono" w:cs="JetBrains Mono" w:eastAsia="JetBrains Mono"/>
      <w:b/>
      <w:bCs/>
      <w:color w:val="402FF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JetBrains Mono" w:hAnsi="JetBrains Mono" w:cs="JetBrains Mono" w:eastAsia="JetBrains Mono"/>
      <w:b/>
      <w:bCs/>
      <w:color w:val="402FF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JetBrains Mono" w:hAnsi="JetBrains Mono" w:cs="JetBrains Mono" w:eastAsia="JetBrains Mono"/>
      <w:b/>
      <w:bCs/>
      <w:color w:val="402FFF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02FFF"/>
      </w:pBdr>
      <w:spacing w:after="300" w:line="240" w:lineRule="auto"/>
      <w:contextualSpacing/>
    </w:pPr>
    <w:rPr>
      <w:rFonts w:ascii="JetBrains Mono" w:hAnsi="JetBrains Mono" w:cs="JetBrains Mono" w:eastAsia="JetBrains Mono"/>
      <w:color w:val="1B1C2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JetBrains Mono" w:hAnsi="JetBrains Mono" w:cs="JetBrains Mono" w:eastAsia="JetBrains Mono"/>
      <w:color w:val="1B1C2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JetBrains Mono" w:hAnsi="JetBrains Mono" w:cs="JetBrains Mono" w:eastAsia="JetBrains Mono"/>
      <w:i/>
      <w:iCs/>
      <w:color w:val="402FF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JetBrains Mono" w:hAnsi="JetBrains Mono" w:cs="JetBrains Mono" w:eastAsia="JetBrains Mono"/>
      <w:i/>
      <w:iCs/>
      <w:color w:val="402FFF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JetBrains Mono" w:hAnsi="JetBrains Mono" w:cs="JetBrains Mono" w:eastAsia="JetBrains Mono"/>
      <w:b/>
      <w:bCs/>
      <w:i/>
      <w:iCs/>
      <w:color w:val="402FF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JetBrains Mono" w:hAnsi="JetBrains Mono" w:cs="JetBrains Mono" w:eastAsia="JetBrains Mono"/>
      <w:color w:val="402FFF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JetBrains Mono" w:hAnsi="JetBrains Mono" w:cs="JetBrains Mono" w:eastAsia="JetBrains Mono"/>
      <w:i/>
      <w:iCs/>
      <w:color w:val="402FFF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JetBrains Mono" w:hAnsi="JetBrains Mono" w:cs="JetBrains Mono" w:eastAsia="JetBrains Mono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JetBrains Mono" w:hAnsi="JetBrains Mono" w:cs="JetBrains Mono" w:eastAsia="JetBrains Mono"/>
      <w:color w:val="402FFF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JetBrains Mono" w:hAnsi="JetBrains Mono" w:cs="JetBrains Mono" w:eastAsia="JetBrains Mono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02FFF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02FFF"/>
      </w:pBdr>
      <w:spacing w:before="200" w:after="280"/>
      <w:ind w:left="936" w:right="936"/>
    </w:pPr>
    <w:rPr>
      <w:b/>
      <w:bCs/>
      <w:i/>
      <w:iCs/>
      <w:color w:val="402F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02FFF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02FFF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02FFF"/>
    </w:rPr>
    <w:tblPr>
      <w:tblStyleRowBandSize w:val="1"/>
      <w:tblStyleColBandSize w:val="1"/>
      <w:tblInd w:w="0" w:type="dxa"/>
      <w:tblBorders>
        <w:top w:val="single" w:sz="8" w:space="0" w:color="402FFF"/>
        <w:bottom w:val="single" w:sz="8" w:space="0" w:color="402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2FFF"/>
          <w:left w:val="nil"/>
          <w:bottom w:val="single" w:sz="8" w:space="0" w:color="402FF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2FFF"/>
          <w:left w:val="nil"/>
          <w:bottom w:val="single" w:sz="8" w:space="0" w:color="402FF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2FFF"/>
        <w:left w:val="single" w:sz="8" w:space="0" w:color="402FFF"/>
        <w:bottom w:val="single" w:sz="8" w:space="0" w:color="402FFF"/>
        <w:right w:val="single" w:sz="8" w:space="0" w:color="402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02F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2FFF"/>
          <w:left w:val="single" w:sz="8" w:space="0" w:color="402FFF"/>
          <w:bottom w:val="single" w:sz="8" w:space="0" w:color="402FFF"/>
          <w:right w:val="single" w:sz="8" w:space="0" w:color="402F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02FFF"/>
          <w:left w:val="single" w:sz="8" w:space="0" w:color="402FFF"/>
          <w:bottom w:val="single" w:sz="8" w:space="0" w:color="402FFF"/>
          <w:right w:val="single" w:sz="8" w:space="0" w:color="402FFF"/>
        </w:tcBorders>
      </w:tcPr>
    </w:tblStylePr>
    <w:tblStylePr w:type="band1Horz">
      <w:tblPr/>
      <w:tcPr>
        <w:tcBorders>
          <w:top w:val="single" w:sz="8" w:space="0" w:color="402FFF"/>
          <w:left w:val="single" w:sz="8" w:space="0" w:color="402FFF"/>
          <w:bottom w:val="single" w:sz="8" w:space="0" w:color="402FFF"/>
          <w:right w:val="single" w:sz="8" w:space="0" w:color="402FFF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JetBrains Mono" w:hAnsi="JetBrains Mono" w:cs="JetBrains Mono" w:eastAsia="JetBrains Mono"/>
        <w:b/>
        <w:bCs/>
      </w:rPr>
    </w:tblStylePr>
    <w:tblStylePr w:type="lastCol"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2FFF"/>
        <w:left w:val="single" w:sz="8" w:space="0" w:color="402FFF"/>
        <w:bottom w:val="single" w:sz="8" w:space="0" w:color="402FFF"/>
        <w:right w:val="single" w:sz="8" w:space="0" w:color="402FFF"/>
        <w:insideH w:val="single" w:sz="8" w:space="0" w:color="402FFF"/>
        <w:insideV w:val="single" w:sz="8" w:space="0" w:color="402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402FFF"/>
          <w:left w:val="single" w:sz="8" w:space="0" w:color="402FFF"/>
          <w:bottom w:val="single" w:sz="18" w:space="0" w:color="402FFF"/>
          <w:right w:val="single" w:sz="8" w:space="0" w:color="402FFF"/>
          <w:insideH w:val="nil"/>
          <w:insideV w:val="single" w:sz="8" w:space="0" w:color="402FFF"/>
        </w:tcBorders>
      </w:tcPr>
    </w:tblStylePr>
    <w:tblStylePr w:type="la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double" w:sz="6" w:space="0" w:color="402FFF"/>
          <w:left w:val="single" w:sz="8" w:space="0" w:color="402FFF"/>
          <w:bottom w:val="single" w:sz="8" w:space="0" w:color="402FFF"/>
          <w:right w:val="single" w:sz="8" w:space="0" w:color="402FFF"/>
          <w:insideH w:val="nil"/>
          <w:insideV w:val="single" w:sz="8" w:space="0" w:color="402FFF"/>
        </w:tcBorders>
      </w:tcPr>
    </w:tblStylePr>
    <w:tblStylePr w:type="firstCol">
      <w:rPr>
        <w:rFonts w:ascii="JetBrains Mono" w:hAnsi="JetBrains Mono" w:cs="JetBrains Mono" w:eastAsia="JetBrains Mono"/>
        <w:b/>
        <w:bCs/>
      </w:rPr>
    </w:tblStylePr>
    <w:tblStylePr w:type="lastCol"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402FFF"/>
          <w:left w:val="single" w:sz="8" w:space="0" w:color="402FFF"/>
          <w:bottom w:val="single" w:sz="8" w:space="0" w:color="402FFF"/>
          <w:right w:val="single" w:sz="8" w:space="0" w:color="402FFF"/>
        </w:tcBorders>
      </w:tcPr>
    </w:tblStylePr>
    <w:tblStylePr w:type="band1Vert">
      <w:tblPr/>
      <w:tcPr>
        <w:tcBorders>
          <w:top w:val="single" w:sz="8" w:space="0" w:color="402FFF"/>
          <w:left w:val="single" w:sz="8" w:space="0" w:color="402FFF"/>
          <w:bottom w:val="single" w:sz="8" w:space="0" w:color="402FFF"/>
          <w:right w:val="single" w:sz="8" w:space="0" w:color="402FFF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02FFF"/>
          <w:left w:val="single" w:sz="8" w:space="0" w:color="402FFF"/>
          <w:bottom w:val="single" w:sz="8" w:space="0" w:color="402FFF"/>
          <w:right w:val="single" w:sz="8" w:space="0" w:color="402FFF"/>
          <w:insideV w:val="single" w:sz="8" w:space="0" w:color="402FFF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02FFF"/>
          <w:left w:val="single" w:sz="8" w:space="0" w:color="402FFF"/>
          <w:bottom w:val="single" w:sz="8" w:space="0" w:color="402FFF"/>
          <w:right w:val="single" w:sz="8" w:space="0" w:color="402FFF"/>
          <w:insideV w:val="single" w:sz="8" w:space="0" w:color="402FFF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JetBrains Mono" w:hAnsi="JetBrains Mono" w:cs="JetBrains Mono" w:eastAsia="JetBrains Mono"/>
        <w:b/>
        <w:bCs/>
      </w:rPr>
    </w:tblStylePr>
    <w:tblStylePr w:type="lastCol"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JetBrains Mono" w:hAnsi="JetBrains Mono" w:cs="JetBrains Mono" w:eastAsia="JetBrains Mono"/>
        <w:b/>
        <w:bCs/>
      </w:rPr>
    </w:tblStylePr>
    <w:tblStylePr w:type="lastCol"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JetBrains Mono" w:hAnsi="JetBrains Mono" w:cs="JetBrains Mono" w:eastAsia="JetBrains Mono"/>
        <w:b/>
        <w:bCs/>
      </w:rPr>
    </w:tblStylePr>
    <w:tblStylePr w:type="lastCol"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JetBrains Mono" w:hAnsi="JetBrains Mono" w:cs="JetBrains Mono" w:eastAsia="JetBrains Mono"/>
        <w:b/>
        <w:bCs/>
      </w:rPr>
    </w:tblStylePr>
    <w:tblStylePr w:type="lastCol"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JetBrains Mono" w:hAnsi="JetBrains Mono" w:cs="JetBrains Mono" w:eastAsia="JetBrains Mon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JetBrains Mono" w:hAnsi="JetBrains Mono" w:cs="JetBrains Mono" w:eastAsia="JetBrains Mono"/>
        <w:b/>
        <w:bCs/>
      </w:rPr>
    </w:tblStylePr>
    <w:tblStylePr w:type="lastCol">
      <w:rPr>
        <w:rFonts w:ascii="JetBrains Mono" w:hAnsi="JetBrains Mono" w:cs="JetBrains Mono" w:eastAsia="JetBrains Mon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02F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02F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02F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02F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JetBrains Mono" w:hAnsi="JetBrains Mono" w:cs="JetBrains Mono" w:eastAsia="JetBrains Mon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02FFF"/>
        <w:bottom w:val="single" w:sz="8" w:space="0" w:color="402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JetBrains Mono" w:hAnsi="JetBrains Mono" w:cs="JetBrains Mono" w:eastAsia="JetBrains Mono"/>
      </w:rPr>
      <w:tblPr/>
      <w:tcPr>
        <w:tcBorders>
          <w:top w:val="nil"/>
          <w:bottom w:val="single" w:sz="8" w:space="0" w:color="402FFF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02FFF"/>
          <w:bottom w:val="single" w:sz="8" w:space="0" w:color="402F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02FFF"/>
          <w:bottom w:val="single" w:sz="8" w:space="0" w:color="402FFF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JetBrains Mono" w:hAnsi="JetBrains Mono" w:cs="JetBrains Mono" w:eastAsia="JetBrains Mon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JetBrains Mono" w:hAnsi="JetBrains Mono" w:cs="JetBrains Mono" w:eastAsia="JetBrains Mon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JetBrains Mono" w:hAnsi="JetBrains Mono" w:cs="JetBrains Mono" w:eastAsia="JetBrains Mon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JetBrains Mono" w:hAnsi="JetBrains Mono" w:cs="JetBrains Mono" w:eastAsia="JetBrains Mon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JetBrains Mono" w:hAnsi="JetBrains Mono" w:cs="JetBrains Mono" w:eastAsia="JetBrains Mon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02FFF"/>
        <w:left w:val="single" w:sz="8" w:space="0" w:color="402FFF"/>
        <w:bottom w:val="single" w:sz="8" w:space="0" w:color="402FFF"/>
        <w:right w:val="single" w:sz="8" w:space="0" w:color="402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02FFF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02FFF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02FFF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02FFF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02FFF"/>
        <w:left w:val="single" w:sz="8" w:space="0" w:color="402FFF"/>
        <w:bottom w:val="single" w:sz="8" w:space="0" w:color="402FFF"/>
        <w:right w:val="single" w:sz="8" w:space="0" w:color="402FFF"/>
        <w:insideH w:val="single" w:sz="8" w:space="0" w:color="402FFF"/>
        <w:insideV w:val="single" w:sz="8" w:space="0" w:color="402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02FFF"/>
          <w:insideV w:val="single" w:sz="6" w:space="0" w:color="402FFF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JetBrains Mono" w:hAnsi="JetBrains Mono" w:cs="JetBrains Mono" w:eastAsia="JetBrains Mon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2F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2F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02F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02F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02F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2FF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2F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2F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F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FF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02FFF"/>
        <w:bottom w:val="single" w:sz="4" w:space="0" w:color="402FFF"/>
        <w:right w:val="single" w:sz="4" w:space="0" w:color="402FFF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2F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2FFF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02FF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2FF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2FFF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2FF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2FFF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2FF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2FFF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02FF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02FF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02FFF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02FFF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C21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B1C21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02FF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02FFF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02FF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02FFF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02FFF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02FFF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02FFF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02FFF" w:themeColor="accent1"/>
      </w:pBdr>
      <w:spacing w:before="200" w:after="280"/>
      <w:ind w:left="936" w:right="936"/>
    </w:pPr>
    <w:rPr>
      <w:b/>
      <w:bCs/>
      <w:i/>
      <w:iCs/>
      <w:color w:val="402F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02FFF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02FFF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02FFF" w:themeColor="accent1" w:themeShade="BF"/>
    </w:rPr>
    <w:tblPr>
      <w:tblStyleRowBandSize w:val="1"/>
      <w:tblStyleColBandSize w:val="1"/>
      <w:tblInd w:w="0" w:type="dxa"/>
      <w:tblBorders>
        <w:top w:val="single" w:sz="8" w:space="0" w:color="402FFF" w:themeColor="accent1"/>
        <w:bottom w:val="single" w:sz="8" w:space="0" w:color="402FF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2FFF" w:themeColor="accent1"/>
          <w:left w:val="nil"/>
          <w:bottom w:val="single" w:sz="8" w:space="0" w:color="402F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2FFF" w:themeColor="accent1"/>
          <w:left w:val="nil"/>
          <w:bottom w:val="single" w:sz="8" w:space="0" w:color="402F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2FFF" w:themeColor="accent1"/>
        <w:left w:val="single" w:sz="8" w:space="0" w:color="402FFF" w:themeColor="accent1"/>
        <w:bottom w:val="single" w:sz="8" w:space="0" w:color="402FFF" w:themeColor="accent1"/>
        <w:right w:val="single" w:sz="8" w:space="0" w:color="402FF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02F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</w:tcBorders>
      </w:tcPr>
    </w:tblStylePr>
    <w:tblStylePr w:type="band1Horz">
      <w:tblPr/>
      <w:tcPr>
        <w:tcBorders>
          <w:top w:val="single" w:sz="8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2FFF" w:themeColor="accent1"/>
        <w:left w:val="single" w:sz="8" w:space="0" w:color="402FFF" w:themeColor="accent1"/>
        <w:bottom w:val="single" w:sz="8" w:space="0" w:color="402FFF" w:themeColor="accent1"/>
        <w:right w:val="single" w:sz="8" w:space="0" w:color="402FFF" w:themeColor="accent1"/>
        <w:insideH w:val="single" w:sz="8" w:space="0" w:color="402FFF" w:themeColor="accent1"/>
        <w:insideV w:val="single" w:sz="8" w:space="0" w:color="402FF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2FFF" w:themeColor="accent1"/>
          <w:left w:val="single" w:sz="8" w:space="0" w:color="402FFF" w:themeColor="accent1"/>
          <w:bottom w:val="single" w:sz="18" w:space="0" w:color="402FFF" w:themeColor="accent1"/>
          <w:right w:val="single" w:sz="8" w:space="0" w:color="402FFF" w:themeColor="accent1"/>
          <w:insideH w:val="nil"/>
          <w:insideV w:val="single" w:sz="8" w:space="0" w:color="402F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  <w:insideH w:val="nil"/>
          <w:insideV w:val="single" w:sz="8" w:space="0" w:color="402F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</w:tcBorders>
      </w:tcPr>
    </w:tblStylePr>
    <w:tblStylePr w:type="band1Vert">
      <w:tblPr/>
      <w:tcPr>
        <w:tcBorders>
          <w:top w:val="single" w:sz="8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  <w:insideV w:val="single" w:sz="8" w:space="0" w:color="402FFF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02FFF" w:themeColor="accent1"/>
          <w:left w:val="single" w:sz="8" w:space="0" w:color="402FFF" w:themeColor="accent1"/>
          <w:bottom w:val="single" w:sz="8" w:space="0" w:color="402FFF" w:themeColor="accent1"/>
          <w:right w:val="single" w:sz="8" w:space="0" w:color="402FFF" w:themeColor="accent1"/>
          <w:insideV w:val="single" w:sz="8" w:space="0" w:color="402FF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02F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02F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02F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02F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02FFF" w:themeColor="accent1"/>
        <w:bottom w:val="single" w:sz="8" w:space="0" w:color="402FF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02FFF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02FFF" w:themeColor="accent1"/>
          <w:bottom w:val="single" w:sz="8" w:space="0" w:color="402F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02FFF" w:themeColor="accent1"/>
          <w:bottom w:val="single" w:sz="8" w:space="0" w:color="402FFF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02FFF" w:themeColor="accent1"/>
        <w:left w:val="single" w:sz="8" w:space="0" w:color="402FFF" w:themeColor="accent1"/>
        <w:bottom w:val="single" w:sz="8" w:space="0" w:color="402FFF" w:themeColor="accent1"/>
        <w:right w:val="single" w:sz="8" w:space="0" w:color="402FF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02F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02FF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02F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02F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02FFF" w:themeColor="accent1"/>
        <w:left w:val="single" w:sz="8" w:space="0" w:color="402FFF" w:themeColor="accent1"/>
        <w:bottom w:val="single" w:sz="8" w:space="0" w:color="402FFF" w:themeColor="accent1"/>
        <w:right w:val="single" w:sz="8" w:space="0" w:color="402FFF" w:themeColor="accent1"/>
        <w:insideH w:val="single" w:sz="8" w:space="0" w:color="402FFF" w:themeColor="accent1"/>
        <w:insideV w:val="single" w:sz="8" w:space="0" w:color="402FF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02FFF" w:themeColor="accent1"/>
          <w:insideV w:val="single" w:sz="6" w:space="0" w:color="402FFF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2F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2F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02F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02F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02F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2FF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2F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2F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F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FF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02FFF" w:themeColor="accent1"/>
        <w:bottom w:val="single" w:sz="4" w:space="0" w:color="402FFF" w:themeColor="accent1"/>
        <w:right w:val="single" w:sz="4" w:space="0" w:color="402FF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2F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2FFF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FSP">
  <a:themeElements>
    <a:clrScheme name="FSP">
      <a:dk1>
        <a:sysClr val="windowText" lastClr="000000"/>
      </a:dk1>
      <a:lt1>
        <a:sysClr val="window" lastClr="FFFFFF"/>
      </a:lt1>
      <a:dk2>
        <a:srgbClr val="1B1C21"/>
      </a:dk2>
      <a:lt2>
        <a:srgbClr val="EDEDED"/>
      </a:lt2>
      <a:accent1>
        <a:srgbClr val="402FFF"/>
      </a:accent1>
      <a:accent2>
        <a:srgbClr val="EC1D35"/>
      </a:accent2>
      <a:accent3>
        <a:srgbClr val="C8C9CA"/>
      </a:accent3>
      <a:accent4>
        <a:srgbClr val="8064A2"/>
      </a:accent4>
      <a:accent5>
        <a:srgbClr val="4BACC6"/>
      </a:accent5>
      <a:accent6>
        <a:srgbClr val="F79646"/>
      </a:accent6>
      <a:hlink>
        <a:srgbClr val="402FFF"/>
      </a:hlink>
      <a:folHlink>
        <a:srgbClr val="800080"/>
      </a:folHlink>
    </a:clrScheme>
    <a:fontScheme name="Office">
      <a:majorFont>
        <a:latin typeface="JetBrains Mon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exception.expert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2026-10-09T12:57:32Z</dcterms:modified>
  <cp:category/>
</cp:coreProperties>
</file>