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rPr/>
        <w:t>Авторы: Чистяков Евгений, Иван Курлыков, Леонид Пластуненко, Николай Кузнецов, Игорь Софронов.</w:t>
      </w:r>
    </w:p>
    <w:p>
      <w:r>
        <w:rPr/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rPr/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rPr/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rPr/>
        <w:t>API: FastAPI, префикс JSON `/api`. Сессия — cookie `product_session`.</w:t>
      </w:r>
    </w:p>
    <w:p>
      <w:pPr>
        <w:pStyle w:val="ListBullet"/>
      </w:pPr>
      <w:r>
        <w:rPr/>
        <w:t>Хранилище: один файл SQLite в режиме WAL. На стенде это `/data/app.sqlite` в томе `fsp-sqlite`. Писатель один.</w:t>
      </w:r>
    </w:p>
    <w:p>
      <w:r>
        <w:rPr/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 и React в compose нет. Локальный Keycloak есть и в образ приложения не входит.</w:t>
      </w:r>
    </w:p>
    <w:p>
      <w:pPr>
        <w:pStyle w:val="Heading2"/>
      </w:pPr>
      <w:r>
        <w:t>Модели</w:t>
      </w:r>
    </w:p>
    <w:p>
      <w:r>
        <w:rPr/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rPr/>
        <w:t>ТЗ §2 требует подход, устойчивый к распространению заданий и дающий сопоставимую сложность. В кабинете работает механика v2 (`product/matching/assessment.py`). Это тот же код сборки варианта и оценки, который проверен симуляцией `product/validation_sim`.</w:t>
      </w:r>
    </w:p>
    <w:p>
      <w:pPr>
        <w:pStyle w:val="ListBullet"/>
      </w:pPr>
      <w:r>
        <w:rPr>
          <w:b/>
        </w:rPr>
        <w:t>Каталог-источник.</w:t>
      </w:r>
      <w:r>
        <w:rPr/>
        <w:t xml:space="preserve"> 72 шаблона и 216 вопросов (`product/matching/stems.py`); три вопроса шаблона — семейства `refusal_contract`, `close_cause`, `offline_check`, ключи трёх шаблонов пары разведены латинским квадратом и здесь не публикуются. Прежняя выдача шаблона (`select_template`, три буквы a|b|c) осталась только для золотого прогона и CPU-персон.</w:t>
      </w:r>
    </w:p>
    <w:p>
      <w:pPr>
        <w:pStyle w:val="ListBullet"/>
      </w:pPr>
      <w:r>
        <w:rPr>
          <w:b/>
        </w:rPr>
        <w:t>Банк семейств.</w:t>
      </w:r>
      <w:r>
        <w:rPr/>
        <w:t xml:space="preserve"> Тема одной сложности — семейство; в банке `product/validation_sim/data/bank.json` 288 семейств (6 специализаций × 4 грейда × 12). Тексты — 216 вопросов каталога `product/matching/stems.py`. Длины вариантов ответа выровнены: верный ответ самый длинный в 30% вопросов (было 58%), поэтому приём «выбирай самый длинный» не работает.</w:t>
      </w:r>
    </w:p>
    <w:p>
      <w:pPr>
        <w:pStyle w:val="ListBullet"/>
      </w:pPr>
      <w:r>
        <w:rPr>
          <w:b/>
        </w:rPr>
        <w:t>Свой вариант по единому плану.</w:t>
      </w:r>
      <w:r>
        <w:rPr/>
        <w:t xml:space="preserve"> Тест на грейд g — 12 вопросов: 3 уровня ниже, 6 уровня g, 3 уровня выше (у junior и lead недостающие позиции добираются своим уровнем). Темы и сложность у всех одинаковые, конкретные вопросы и порядок — свои. Пересдача берёт другие темы, частота показа выравнивается по платформе.</w:t>
      </w:r>
    </w:p>
    <w:p>
      <w:pPr>
        <w:pStyle w:val="ListBullet"/>
      </w:pPr>
      <w:r>
        <w:rPr>
          <w:b/>
        </w:rPr>
        <w:t>Ключ только на сервере.</w:t>
      </w:r>
      <w:r>
        <w:rPr/>
        <w:t xml:space="preserve"> Варианты ответа перемешаны и получают одноразовые id; ключ лежит в записи попытки (`test_attempts.form_json`) и в API не уходит. Буквы правильного ответа больше нет.</w:t>
      </w:r>
    </w:p>
    <w:p>
      <w:pPr>
        <w:pStyle w:val="ListBullet"/>
      </w:pPr>
      <w:r>
        <w:rPr>
          <w:b/>
        </w:rPr>
        <w:t>Формат «оцените каждый вариант».</w:t>
      </w:r>
      <w:r>
        <w:rPr/>
        <w:t xml:space="preserve"> Кандидат отмечает каждый из трёх вариантов «верно» или «неверно»; вопрос засчитан, только если все три оценки правильные. Угадать — 1 из 8, а не 1 из 3. Вопросы идут по одному, вернуться к отвеченному нельзя, ответ сохраняется сразу.</w:t>
      </w:r>
    </w:p>
    <w:p>
      <w:pPr>
        <w:pStyle w:val="ListBullet"/>
      </w:pPr>
      <w:r>
        <w:rPr>
          <w:b/>
        </w:rPr>
        <w:t>Оценка уровня.</w:t>
      </w:r>
      <w:r>
        <w:rPr/>
        <w:t xml:space="preserve"> Уровень θ считается по модели IRT с учётом сложности каждого вопроса — разные варианты сравнимы. Если результат у границы грейдов (вероятность 15–85%), тест добавляет блок из вопросов сложности этой границы (до трёх блоков).</w:t>
      </w:r>
    </w:p>
    <w:p>
      <w:pPr>
        <w:pStyle w:val="ListBullet"/>
      </w:pPr>
      <w:r>
        <w:rPr>
          <w:b/>
        </w:rPr>
        <w:t>Решение.</w:t>
      </w:r>
      <w:r>
        <w:rPr/>
        <w:t xml:space="preserve"> Грейд подтверждается при уверенности не ниже 60% (осторожный порог: завысить хуже, чем занизить). Итог — `confirm`, `suggest_higher` или `suggest_lower`; принудительного понижения нет. Ответы двух предыдущих попыток этой специализации учитываются (накопление), поэтому цепочка «тест → ниже/выше» не начинается с нуля.</w:t>
      </w:r>
    </w:p>
    <w:p>
      <w:pPr>
        <w:pStyle w:val="ListBullet"/>
      </w:pPr>
      <w:r>
        <w:rPr>
          <w:b/>
        </w:rPr>
        <w:t>Результат с уверенностью.</w:t>
      </w:r>
      <w:r>
        <w:rPr/>
        <w:t xml:space="preserve"> Кроме итога тест сообщает уверенность, статус «уверенно» или «у границы» и положение в грейде (нижняя, средняя, верхняя треть). Порог «уверенно» (0.9) и выведенные слабые темы (32 из 216) получены на отдельной пилотной группе — `product/validation_sim/data/pilot_live.json`.</w:t>
      </w:r>
    </w:p>
    <w:p>
      <w:r>
        <w:rPr/>
        <w:t>Смена грейда — как раньше.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90 дней. Интервал держится на повторной смене после того, как тест уже записал новый грейд. Первая соседняя попытка вверх после `suggest_higher` и вниз после `suggest_lower` интервал не ждёт, пока соседний `confirm` не сдвинул записанный грейд (Q&amp;A: «провал и уход ниже — без сжигания попытки»). Повтор теста записанного грейда интервал не ждёт. Записанный грейд меняет лишь соседняя попытка с итогом `confirm`.</w:t>
      </w:r>
    </w:p>
    <w:p>
      <w:r>
        <w:rPr/>
        <w:t>Несколько описаний вакансий (`product/matching/vacancies/samples.json`) показывают, как вакансия превращается в тест: она задаёт специализацию и грейд, а план 3/6/3 — какие уровни войдут в вариант. Текст вакансии вопросы не выбирает.</w:t>
      </w:r>
    </w:p>
    <w:p>
      <w:pPr>
        <w:pStyle w:val="Heading1"/>
      </w:pPr>
      <w:r>
        <w:t>Подбор и категоризация</w:t>
      </w:r>
    </w:p>
    <w:p>
      <w:r>
        <w:rPr/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rPr/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или с проваленным тестом (`suggest_lower`) карточка со статусом «не подтверждён» и ниже подтверждённых той же категории через префикс `rank_key`; у подтверждённых карточка показывает «подтверждён уверенно» или «подтверждён, у границы», уверенность и положение в грейде;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потребность, и следом сравнение с соседней карточкой: подтверждён, балл, число достижений, приз. Сырой rank_key на карточке не показан. Сортировка, ключ, доля в топе и балл грейда от этого не меняются.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rPr/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rPr/>
        <w:t>Прогон читает золотой набор из git и в сеть не ходит. Валидация жюри — CPU-персоны в том же `GET /validation`, без инференса и без GPU.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rPr/>
        <w:t>Ниже пять строк прогона `python -m product.matching.golden_run` от 2026-10-10 (механика v2). Повтор запуска их не меняет: варианты теста в прогоне собираются с фиксированным seed. Набор в git: 38 синтетических профилей, 12 потребностей (`top_k=3`), 24 пары «специализация × грейд» для теста, 4 PDF резюме. Это числа запуска, не цель. Строка `grade_separation` — сколько вопросов каталога разделяют грейды и сколько всего; порога по ней нет. После неё — три строки CPU-персон `sim_competent`, `sim_key_leak`, `sim_adjacent` по прежнему каталогу шаблонов, без GPU; порога нет, числа в записку не копируются.</w:t>
      </w:r>
    </w:p>
    <w:p>
      <w:r>
        <w:rPr>
          <w:rFonts w:ascii="Courier New" w:hAnsi="Courier New"/>
          <w:sz w:val="20"/>
        </w:rPr>
        <w:t>category_match 38 38</w:t>
      </w:r>
    </w:p>
    <w:p>
      <w:r>
        <w:rPr>
          <w:rFonts w:ascii="Courier New" w:hAnsi="Courier New"/>
          <w:sz w:val="20"/>
        </w:rPr>
        <w:t>outcome_match 72 72</w:t>
      </w:r>
    </w:p>
    <w:p>
      <w:r>
        <w:rPr>
          <w:rFonts w:ascii="Courier New" w:hAnsi="Courier New"/>
          <w:sz w:val="20"/>
        </w:rPr>
        <w:t>form_stable 24 24</w:t>
      </w:r>
    </w:p>
    <w:p>
      <w:r>
        <w:rPr>
          <w:rFonts w:ascii="Courier New" w:hAnsi="Courier New"/>
          <w:sz w:val="20"/>
        </w:rPr>
        <w:t>relevant_in_top 23 24</w:t>
      </w:r>
    </w:p>
    <w:p>
      <w:r>
        <w:rPr>
          <w:rFonts w:ascii="Courier New" w:hAnsi="Courier New"/>
          <w:sz w:val="20"/>
        </w:rPr>
        <w:t>resume_ok 4 4</w:t>
      </w:r>
    </w:p>
    <w:p>
      <w:r>
        <w:rPr/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rPr/>
        <w:t>`category_match` — сколько профилей получили ожидаемую категорию;</w:t>
      </w:r>
    </w:p>
    <w:p>
      <w:pPr>
        <w:pStyle w:val="ListBullet"/>
      </w:pPr>
      <w:r>
        <w:rPr/>
        <w:t>`outcome_match` — на вариантах теста v2 ответы «сданы уровни до выше / до своего / только ниже» дали ожидаемый итог (`suggest_higher` / `confirm` / `suggest_lower`);</w:t>
      </w:r>
    </w:p>
    <w:p>
      <w:pPr>
        <w:pStyle w:val="ListBullet"/>
      </w:pPr>
      <w:r>
        <w:rPr/>
        <w:t>`form_stable` — тот же вариант и те же ответы дали тот же итог и ту же оценку;</w:t>
      </w:r>
    </w:p>
    <w:p>
      <w:pPr>
        <w:pStyle w:val="ListBullet"/>
      </w:pPr>
      <w:r>
        <w:rPr/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rPr/>
        <w:t>`resume_ok` — сколько PDF разобрались без падения процесса;</w:t>
      </w:r>
    </w:p>
    <w:p>
      <w:pPr>
        <w:pStyle w:val="ListBullet"/>
      </w:pPr>
      <w:r>
        <w:rPr/>
        <w:t>`grade_separation` — сколько вопросов разделяют грейды и сколько вопросов в каталоге. Это не порог и в блок выше не входит;</w:t>
      </w:r>
    </w:p>
    <w:p>
      <w:pPr>
        <w:pStyle w:val="ListBullet"/>
      </w:pPr>
      <w:r>
        <w:rPr/>
        <w:t>`sim_competent`, `sim_key_leak`, `sim_adjacent` — CPU-персоны того же GET на 72 шаблонах прежнего каталога. Порога нет.</w:t>
      </w:r>
    </w:p>
    <w:p>
      <w:pPr>
        <w:pStyle w:val="Heading2"/>
      </w:pPr>
      <w:r>
        <w:t>Симуляция на 500 синтетических кандидатах</w:t>
      </w:r>
    </w:p>
    <w:p>
      <w:r>
        <w:rPr/>
        <w:t>Пакет `product/validation_sim` проверяет механику на 500 синтетических кандидатах с известным истинным грейдом (`data/candidates.csv`, `data/candidates.json`). Сравниваются прежний тест (3 вопроса, ключ b-c-a), v1, v2 в том виде, как он работает в кабинете, и прогноз v2 с вопросами форматов multi / order / numeric. Ответы моделируются IRT с ошибкой калибровки сложности; порог «уверенно» подобран на отдельной пилотной группе. Для v2 — среднее по 5 прогонам, в скобках мин–макс.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 в кабинете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 прогноз</w:t>
            </w:r>
          </w:p>
        </w:tc>
      </w:tr>
      <w:tr>
        <w:tc>
          <w:tcPr>
            <w:tcW w:type="dxa" w:w="2160"/>
          </w:tcPr>
          <w:p>
            <w:r>
              <w:rPr/>
              <w:t>Грейд совпал с истинным</w:t>
            </w:r>
          </w:p>
        </w:tc>
        <w:tc>
          <w:tcPr>
            <w:tcW w:type="dxa" w:w="2160"/>
          </w:tcPr>
          <w:p>
            <w:r>
              <w:rPr/>
              <w:t>58%</w:t>
            </w:r>
          </w:p>
        </w:tc>
        <w:tc>
          <w:tcPr>
            <w:tcW w:type="dxa" w:w="2160"/>
          </w:tcPr>
          <w:p>
            <w:r>
              <w:rPr/>
              <w:t>82% (79–84)</w:t>
            </w:r>
          </w:p>
        </w:tc>
        <w:tc>
          <w:tcPr>
            <w:tcW w:type="dxa" w:w="2160"/>
          </w:tcPr>
          <w:p>
            <w:r>
              <w:rPr/>
              <w:t>83% (82–85)</w:t>
            </w:r>
          </w:p>
        </w:tc>
      </w:tr>
      <w:tr>
        <w:tc>
          <w:tcPr>
            <w:tcW w:type="dxa" w:w="2160"/>
          </w:tcPr>
          <w:p>
            <w:r>
              <w:rPr/>
              <w:t>Точность среди «уверенно»</w:t>
            </w:r>
          </w:p>
        </w:tc>
        <w:tc>
          <w:tcPr>
            <w:tcW w:type="dxa" w:w="2160"/>
          </w:tcPr>
          <w:p>
            <w:r>
              <w:rPr/>
              <w:t>—</w:t>
            </w:r>
          </w:p>
        </w:tc>
        <w:tc>
          <w:tcPr>
            <w:tcW w:type="dxa" w:w="2160"/>
          </w:tcPr>
          <w:p>
            <w:r>
              <w:rPr/>
              <w:t>92.7% (91–96)</w:t>
            </w:r>
          </w:p>
        </w:tc>
        <w:tc>
          <w:tcPr>
            <w:tcW w:type="dxa" w:w="2160"/>
          </w:tcPr>
          <w:p>
            <w:r>
              <w:rPr/>
              <w:t>92.3% (90–95)</w:t>
            </w:r>
          </w:p>
        </w:tc>
      </w:tr>
      <w:tr>
        <w:tc>
          <w:tcPr>
            <w:tcW w:type="dxa" w:w="2160"/>
          </w:tcPr>
          <w:p>
            <w:r>
              <w:rPr/>
              <w:t>Доля «уверенно»</w:t>
            </w:r>
          </w:p>
        </w:tc>
        <w:tc>
          <w:tcPr>
            <w:tcW w:type="dxa" w:w="2160"/>
          </w:tcPr>
          <w:p>
            <w:r>
              <w:rPr/>
              <w:t>—</w:t>
            </w:r>
          </w:p>
        </w:tc>
        <w:tc>
          <w:tcPr>
            <w:tcW w:type="dxa" w:w="2160"/>
          </w:tcPr>
          <w:p>
            <w:r>
              <w:rPr/>
              <w:t>24%</w:t>
            </w:r>
          </w:p>
        </w:tc>
        <w:tc>
          <w:tcPr>
            <w:tcW w:type="dxa" w:w="2160"/>
          </w:tcPr>
          <w:p>
            <w:r>
              <w:rPr/>
              <w:t>45%</w:t>
            </w:r>
          </w:p>
        </w:tc>
      </w:tr>
      <w:tr>
        <w:tc>
          <w:tcPr>
            <w:tcW w:type="dxa" w:w="2160"/>
          </w:tcPr>
          <w:p>
            <w:r>
              <w:rPr/>
              <w:t>Ошибка больше чем на ступень</w:t>
            </w:r>
          </w:p>
        </w:tc>
        <w:tc>
          <w:tcPr>
            <w:tcW w:type="dxa" w:w="2160"/>
          </w:tcPr>
          <w:p>
            <w:r>
              <w:rPr/>
              <w:t>2.4%</w:t>
            </w:r>
          </w:p>
        </w:tc>
        <w:tc>
          <w:tcPr>
            <w:tcW w:type="dxa" w:w="2160"/>
          </w:tcPr>
          <w:p>
            <w:r>
              <w:rPr/>
              <w:t>0%</w:t>
            </w:r>
          </w:p>
        </w:tc>
        <w:tc>
          <w:tcPr>
            <w:tcW w:type="dxa" w:w="2160"/>
          </w:tcPr>
          <w:p>
            <w:r>
              <w:rPr/>
              <w:t>0%</w:t>
            </w:r>
          </w:p>
        </w:tc>
      </w:tr>
      <w:tr>
        <w:tc>
          <w:tcPr>
            <w:tcW w:type="dxa" w:w="2160"/>
          </w:tcPr>
          <w:p>
            <w:r>
              <w:rPr/>
              <w:t>Грейд завышен</w:t>
            </w:r>
          </w:p>
        </w:tc>
        <w:tc>
          <w:tcPr>
            <w:tcW w:type="dxa" w:w="2160"/>
          </w:tcPr>
          <w:p>
            <w:r>
              <w:rPr/>
              <w:t>34%</w:t>
            </w:r>
          </w:p>
        </w:tc>
        <w:tc>
          <w:tcPr>
            <w:tcW w:type="dxa" w:w="2160"/>
          </w:tcPr>
          <w:p>
            <w:r>
              <w:rPr/>
              <w:t>8%</w:t>
            </w:r>
          </w:p>
        </w:tc>
        <w:tc>
          <w:tcPr>
            <w:tcW w:type="dxa" w:w="2160"/>
          </w:tcPr>
          <w:p>
            <w:r>
              <w:rPr/>
              <w:t>8%</w:t>
            </w:r>
          </w:p>
        </w:tc>
      </w:tr>
      <w:tr>
        <w:tc>
          <w:tcPr>
            <w:tcW w:type="dxa" w:w="2160"/>
          </w:tcPr>
          <w:p>
            <w:r>
              <w:rPr/>
              <w:t>Тот же грейд при пересдаче</w:t>
            </w:r>
          </w:p>
        </w:tc>
        <w:tc>
          <w:tcPr>
            <w:tcW w:type="dxa" w:w="2160"/>
          </w:tcPr>
          <w:p>
            <w:r>
              <w:rPr/>
              <w:t>51%</w:t>
            </w:r>
          </w:p>
        </w:tc>
        <w:tc>
          <w:tcPr>
            <w:tcW w:type="dxa" w:w="2160"/>
          </w:tcPr>
          <w:p>
            <w:r>
              <w:rPr/>
              <w:t>75%</w:t>
            </w:r>
          </w:p>
        </w:tc>
        <w:tc>
          <w:tcPr>
            <w:tcW w:type="dxa" w:w="2160"/>
          </w:tcPr>
          <w:p>
            <w:r>
              <w:rPr/>
              <w:t>76%</w:t>
            </w:r>
          </w:p>
        </w:tc>
      </w:tr>
      <w:tr>
        <w:tc>
          <w:tcPr>
            <w:tcW w:type="dxa" w:w="2160"/>
          </w:tcPr>
          <w:p>
            <w:r>
              <w:rPr/>
              <w:t>Сдали ступень выше своей без утечки</w:t>
            </w:r>
          </w:p>
        </w:tc>
        <w:tc>
          <w:tcPr>
            <w:tcW w:type="dxa" w:w="2160"/>
          </w:tcPr>
          <w:p>
            <w:r>
              <w:rPr/>
              <w:t>58%</w:t>
            </w:r>
          </w:p>
        </w:tc>
        <w:tc>
          <w:tcPr>
            <w:tcW w:type="dxa" w:w="2160"/>
          </w:tcPr>
          <w:p>
            <w:r>
              <w:rPr/>
              <w:t>10%</w:t>
            </w:r>
          </w:p>
        </w:tc>
        <w:tc>
          <w:tcPr>
            <w:tcW w:type="dxa" w:w="2160"/>
          </w:tcPr>
          <w:p>
            <w:r>
              <w:rPr/>
              <w:t>9%</w:t>
            </w:r>
          </w:p>
        </w:tc>
      </w:tr>
      <w:tr>
        <w:tc>
          <w:tcPr>
            <w:tcW w:type="dxa" w:w="2160"/>
          </w:tcPr>
          <w:p>
            <w:r>
              <w:rPr/>
              <w:t>Сдали, зная ключ b-c-a / выбирая самый длинный ответ</w:t>
            </w:r>
          </w:p>
        </w:tc>
        <w:tc>
          <w:tcPr>
            <w:tcW w:type="dxa" w:w="2160"/>
          </w:tcPr>
          <w:p>
            <w:r>
              <w:rPr/>
              <w:t>100% / 26%</w:t>
            </w:r>
          </w:p>
        </w:tc>
        <w:tc>
          <w:tcPr>
            <w:tcW w:type="dxa" w:w="2160"/>
          </w:tcPr>
          <w:p>
            <w:r>
              <w:rPr/>
              <w:t>5% / 1%</w:t>
            </w:r>
          </w:p>
        </w:tc>
        <w:tc>
          <w:tcPr>
            <w:tcW w:type="dxa" w:w="2160"/>
          </w:tcPr>
          <w:p>
            <w:r>
              <w:rPr/>
              <w:t>0% / 0%</w:t>
            </w:r>
          </w:p>
        </w:tc>
      </w:tr>
    </w:tbl>
    <w:p>
      <w:r>
        <w:rPr/>
        <w:t>Точность среди «уверенно» близка к цели 93%, но доля таких решений в кабинете пока 24%: с 216 вопросами формата «оцените каждый вариант» тест у границы грейдов чаще говорит «у границы». Когда команда допишет вопросы с низкой вероятностью угадать, доля вырастет примерно до 45%. Пограничный кандидат не скрывается — работодатель видит его со статусом.</w:t>
      </w:r>
    </w:p>
    <w:p>
      <w:r>
        <w:rPr/>
        <w:t>Запуск: `python -m product.validation_sim.run`. Таблицы — `product/validation_sim/out/report.md`, графики — `out/validation_charts.png`, описание и допущения — `product/validation_sim/README.md`.</w:t>
      </w:r>
    </w:p>
    <w:p>
      <w:pPr>
        <w:pStyle w:val="Heading1"/>
      </w:pPr>
      <w:r>
        <w:t>Будущая интеграция с реестром ФСП</w:t>
      </w:r>
    </w:p>
    <w:p>
      <w:r>
        <w:rPr/>
        <w:t>Кабинеты зависят от интерфейса `FspClient`. На стенде это чтение `participants.json`. Боевого коннектора реестра нет. Стенд поднимает локальный реалм Keycloak. Кандидат, уже вошедший по почте, связывает `external_id` из claim `fsp_external_id` или `sub`. Секрета боевой ФСП нет. На схеме локальный Keycloak — сплошной узел стенда, issuer заказчика — пунктир.</w:t>
      </w:r>
    </w:p>
    <w:p>
      <w:r>
        <w:rPr>
          <w:rFonts w:ascii="Courier New" w:hAnsi="Courier New"/>
          <w:sz w:val="20"/>
        </w:rPr>
        <w:t>flowchart LR</w:t>
      </w:r>
    </w:p>
    <w:p>
      <w:r>
        <w:rPr>
          <w:rFonts w:ascii="Courier New" w:hAnsi="Courier New"/>
          <w:sz w:val="20"/>
        </w:rPr>
        <w:t xml:space="preserve">  app[Сервисы кабинетов] --&gt; client[FspClient]</w:t>
      </w:r>
    </w:p>
    <w:p>
      <w:r>
        <w:rPr>
          <w:rFonts w:ascii="Courier New" w:hAnsi="Courier New"/>
          <w:sz w:val="20"/>
        </w:rPr>
        <w:t xml:space="preserve">  client --&gt; json[JsonFspClient на стенде]</w:t>
      </w:r>
    </w:p>
    <w:p>
      <w:r>
        <w:rPr>
          <w:rFonts w:ascii="Courier New" w:hAnsi="Courier New"/>
          <w:sz w:val="20"/>
        </w:rPr>
        <w:t xml:space="preserve">  client -.-&gt; http[Будущая реализация HTTP реестра]</w:t>
      </w:r>
    </w:p>
    <w:p>
      <w:r>
        <w:rPr>
          <w:rFonts w:ascii="Courier New" w:hAnsi="Courier New"/>
          <w:sz w:val="20"/>
        </w:rPr>
        <w:t xml:space="preserve">  app --&gt; kc[Локальный Keycloak на стенде]</w:t>
      </w:r>
    </w:p>
    <w:p>
      <w:r>
        <w:rPr>
          <w:rFonts w:ascii="Courier New" w:hAnsi="Courier New"/>
          <w:sz w:val="20"/>
        </w:rPr>
        <w:t xml:space="preserve">  kc -.-&gt; issuer[Issuer заказчика]</w:t>
      </w:r>
    </w:p>
    <w:p>
      <w:pPr>
        <w:pStyle w:val="Heading1"/>
      </w:pPr>
      <w:r>
        <w:t>API</w:t>
      </w:r>
    </w:p>
    <w:p>
      <w:r>
        <w:rPr/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rPr/>
        <w:t>Группы маршрутов: `/api/auth`, профиль и достижения соискателя, тест (старт, сдача ответов — при результате у границы ответ `status: "extra"` с дополнительными вопросами, история с уверенностью и статусом), резюме и PDF профиля, категория и выдача работодателя, карточка компании, приглашения, вакансии и отклик (`/api/vacancies`, отклик, одно короткое задание), `GET /validation`.</w:t>
      </w:r>
    </w:p>
    <w:p>
      <w:pPr>
        <w:pStyle w:val="Heading1"/>
      </w:pPr>
      <w:r>
        <w:t>Библиотеки</w:t>
      </w:r>
    </w:p>
    <w:p>
      <w:r>
        <w:rPr/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1.3.0.</w:t>
      </w:r>
    </w:p>
    <w:p>
      <w:r>
        <w:rPr/>
        <w:t>Прямые зависимости образа: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Пакет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Версия</w:t>
            </w:r>
          </w:p>
        </w:tc>
      </w:tr>
      <w:tr>
        <w:tc>
          <w:tcPr>
            <w:tcW w:type="dxa" w:w="4320"/>
          </w:tcPr>
          <w:p>
            <w:r>
              <w:rPr/>
              <w:t>fastapi</w:t>
            </w:r>
          </w:p>
        </w:tc>
        <w:tc>
          <w:tcPr>
            <w:tcW w:type="dxa" w:w="4320"/>
          </w:tcPr>
          <w:p>
            <w:r>
              <w:rPr/>
              <w:t>0.142.2</w:t>
            </w:r>
          </w:p>
        </w:tc>
      </w:tr>
      <w:tr>
        <w:tc>
          <w:tcPr>
            <w:tcW w:type="dxa" w:w="4320"/>
          </w:tcPr>
          <w:p>
            <w:r>
              <w:rPr/>
              <w:t>uvicorn</w:t>
            </w:r>
          </w:p>
        </w:tc>
        <w:tc>
          <w:tcPr>
            <w:tcW w:type="dxa" w:w="4320"/>
          </w:tcPr>
          <w:p>
            <w:r>
              <w:rPr/>
              <w:t>0.54.0</w:t>
            </w:r>
          </w:p>
        </w:tc>
      </w:tr>
      <w:tr>
        <w:tc>
          <w:tcPr>
            <w:tcW w:type="dxa" w:w="4320"/>
          </w:tcPr>
          <w:p>
            <w:r>
              <w:rPr/>
              <w:t>SQLAlchemy</w:t>
            </w:r>
          </w:p>
        </w:tc>
        <w:tc>
          <w:tcPr>
            <w:tcW w:type="dxa" w:w="4320"/>
          </w:tcPr>
          <w:p>
            <w:r>
              <w:rPr/>
              <w:t>2.1.3</w:t>
            </w:r>
          </w:p>
        </w:tc>
      </w:tr>
      <w:tr>
        <w:tc>
          <w:tcPr>
            <w:tcW w:type="dxa" w:w="4320"/>
          </w:tcPr>
          <w:p>
            <w:r>
              <w:rPr/>
              <w:t>Jinja2</w:t>
            </w:r>
          </w:p>
        </w:tc>
        <w:tc>
          <w:tcPr>
            <w:tcW w:type="dxa" w:w="4320"/>
          </w:tcPr>
          <w:p>
            <w:r>
              <w:rPr/>
              <w:t>3.1.6</w:t>
            </w:r>
          </w:p>
        </w:tc>
      </w:tr>
      <w:tr>
        <w:tc>
          <w:tcPr>
            <w:tcW w:type="dxa" w:w="4320"/>
          </w:tcPr>
          <w:p>
            <w:r>
              <w:rPr/>
              <w:t>python-multipart</w:t>
            </w:r>
          </w:p>
        </w:tc>
        <w:tc>
          <w:tcPr>
            <w:tcW w:type="dxa" w:w="4320"/>
          </w:tcPr>
          <w:p>
            <w:r>
              <w:rPr/>
              <w:t>0.0.32</w:t>
            </w:r>
          </w:p>
        </w:tc>
      </w:tr>
      <w:tr>
        <w:tc>
          <w:tcPr>
            <w:tcW w:type="dxa" w:w="4320"/>
          </w:tcPr>
          <w:p>
            <w:r>
              <w:rPr/>
              <w:t>argon2-cffi</w:t>
            </w:r>
          </w:p>
        </w:tc>
        <w:tc>
          <w:tcPr>
            <w:tcW w:type="dxa" w:w="4320"/>
          </w:tcPr>
          <w:p>
            <w:r>
              <w:rPr/>
              <w:t>25.1.0</w:t>
            </w:r>
          </w:p>
        </w:tc>
      </w:tr>
      <w:tr>
        <w:tc>
          <w:tcPr>
            <w:tcW w:type="dxa" w:w="4320"/>
          </w:tcPr>
          <w:p>
            <w:r>
              <w:rPr/>
              <w:t>itsdangerous</w:t>
            </w:r>
          </w:p>
        </w:tc>
        <w:tc>
          <w:tcPr>
            <w:tcW w:type="dxa" w:w="4320"/>
          </w:tcPr>
          <w:p>
            <w:r>
              <w:rPr/>
              <w:t>2.2.0</w:t>
            </w:r>
          </w:p>
        </w:tc>
      </w:tr>
      <w:tr>
        <w:tc>
          <w:tcPr>
            <w:tcW w:type="dxa" w:w="4320"/>
          </w:tcPr>
          <w:p>
            <w:r>
              <w:rPr/>
              <w:t>pypdf</w:t>
            </w:r>
          </w:p>
        </w:tc>
        <w:tc>
          <w:tcPr>
            <w:tcW w:type="dxa" w:w="4320"/>
          </w:tcPr>
          <w:p>
            <w:r>
              <w:rPr/>
              <w:t>6.19.0</w:t>
            </w:r>
          </w:p>
        </w:tc>
      </w:tr>
      <w:tr>
        <w:tc>
          <w:tcPr>
            <w:tcW w:type="dxa" w:w="4320"/>
          </w:tcPr>
          <w:p>
            <w:r>
              <w:rPr/>
              <w:t>reportlab</w:t>
            </w:r>
          </w:p>
        </w:tc>
        <w:tc>
          <w:tcPr>
            <w:tcW w:type="dxa" w:w="4320"/>
          </w:tcPr>
          <w:p>
            <w:r>
              <w:rPr/>
              <w:t>5.0.1</w:t>
            </w:r>
          </w:p>
        </w:tc>
      </w:tr>
      <w:tr>
        <w:tc>
          <w:tcPr>
            <w:tcW w:type="dxa" w:w="4320"/>
          </w:tcPr>
          <w:p>
            <w:r>
              <w:rPr/>
              <w:t>cryptography</w:t>
            </w:r>
          </w:p>
        </w:tc>
        <w:tc>
          <w:tcPr>
            <w:tcW w:type="dxa" w:w="4320"/>
          </w:tcPr>
          <w:p>
            <w:r>
              <w:rPr/>
              <w:t>46.0.7 (в `pyproject.toml` — `&gt;=44,&lt;47`; нужна для проверки подписи токена ФСП ID)</w:t>
            </w:r>
          </w:p>
        </w:tc>
      </w:tr>
      <w:tr>
        <w:tc>
          <w:tcPr>
            <w:tcW w:type="dxa" w:w="4320"/>
          </w:tcPr>
          <w:p>
            <w:r>
              <w:rPr/>
              <w:t>pytest</w:t>
            </w:r>
          </w:p>
        </w:tc>
        <w:tc>
          <w:tcPr>
            <w:tcW w:type="dxa" w:w="4320"/>
          </w:tcPr>
          <w:p>
            <w:r>
              <w:rPr/>
              <w:t>8.4.2</w:t>
            </w:r>
          </w:p>
        </w:tc>
      </w:tr>
      <w:tr>
        <w:tc>
          <w:tcPr>
            <w:tcW w:type="dxa" w:w="4320"/>
          </w:tcPr>
          <w:p>
            <w:r>
              <w:rPr/>
              <w:t>httpx</w:t>
            </w:r>
          </w:p>
        </w:tc>
        <w:tc>
          <w:tcPr>
            <w:tcW w:type="dxa" w:w="4320"/>
          </w:tcPr>
          <w:p>
            <w:r>
              <w:rPr/>
              <w:t>0.28.1</w:t>
            </w:r>
          </w:p>
        </w:tc>
      </w:tr>
    </w:tbl>
    <w:p>
      <w:r>
        <w:rPr/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rPr/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rPr/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rPr>
          <w:rFonts w:ascii="Courier New" w:hAnsi="Courier New"/>
          <w:sz w:val="20"/>
        </w:rPr>
        <w:t>docker compose -f deploy/fsp/compose.yaml up --build</w:t>
      </w:r>
    </w:p>
    <w:p>
      <w:r>
        <w:rPr/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Контейнер Keycloak слушает `127.0.0.1:8080` и не блокирует старт uvicorn. Keycloak, Pango и Node в образ приложения не входят. Кабинеты: `http://127.0.0.1:8000`.</w:t>
      </w:r>
    </w:p>
    <w:p>
      <w:r>
        <w:rPr/>
        <w:t>Проверка тестов:</w:t>
      </w:r>
    </w:p>
    <w:p>
      <w:r>
        <w:rPr>
          <w:rFonts w:ascii="Courier New" w:hAnsi="Courier New"/>
          <w:sz w:val="20"/>
        </w:rPr>
        <w:t>docker compose -f deploy/fsp/compose.yaml --profile test run --rm tests</w:t>
      </w:r>
    </w:p>
    <w:p>
      <w:r>
        <w:rPr/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rPr/>
        <w:t>На стенде вакансия есть и публикуется сразу со статусом `published`. Очереди `draft` → `in_review` нет: это по-прежнему концепция, не код. Когда появится модерация, новая строка не станет публичной сразу. Очередь концепции: `draft` → `in_review` → `published` или `rejected`. Публикует модератор стенда, не автор карточки. Отклик и одно короткое задание на вакансию есть и в испытание грейда не входят. Вебхука ATS, проверки ИНН и бейджа юрлица нет.</w:t>
      </w:r>
    </w:p>
    <w:p>
      <w:r>
        <w:rPr/>
        <w:t>Фиктивной в этой концепции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rPr/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rPr/>
        <w:t>Публичного URL нет. Кабинеты после compose — `http://127.0.0.1:8000`. Эксперты без Docker смотрят скрины и видео презентации. Вакансия, отклик и одно короткое задание на стенде есть и в испытание грейда не входят. Вебхука ATS, проверки ИНН и бейджа юрлица нет. Адаптив под телефон обязательный путь не закрывает и этот стенд не блокирует.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JetBrains Mono">
    <w:charset w:val="00"/>
    <w:family w:val="modern"/>
    <w:pitch w:val="fixed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etBrains Mono" w:hAnsi="JetBrains Mono" w:cs="JetBrains Mono" w:eastAsia="JetBrains Mono"/>
      <w:color w:val="1B1C21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JetBrains Mono" w:hAnsi="JetBrains Mono" w:cs="JetBrains Mono" w:eastAsia="JetBrains Mono"/>
      <w:b/>
      <w:bCs/>
      <w:color w:val="402F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JetBrains Mono" w:hAnsi="JetBrains Mono" w:cs="JetBrains Mono" w:eastAsia="JetBrains Mono"/>
      <w:b/>
      <w:bCs/>
      <w:color w:val="402FFF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JetBrains Mono" w:hAnsi="JetBrains Mono" w:cs="JetBrains Mono" w:eastAsia="JetBrains Mono"/>
      <w:b/>
      <w:bCs/>
      <w:color w:val="402FFF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JetBrains Mono" w:hAnsi="JetBrains Mono" w:cs="JetBrains Mono" w:eastAsia="JetBrains Mono"/>
      <w:b/>
      <w:bCs/>
      <w:i/>
      <w:iCs/>
      <w:color w:val="402FFF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JetBrains Mono" w:hAnsi="JetBrains Mono" w:cs="JetBrains Mono" w:eastAsia="JetBrains Mono"/>
      <w:color w:val="402FFF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JetBrains Mono" w:hAnsi="JetBrains Mono" w:cs="JetBrains Mono" w:eastAsia="JetBrains Mono"/>
      <w:i/>
      <w:iCs/>
      <w:color w:val="402FF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JetBrains Mono" w:hAnsi="JetBrains Mono" w:cs="JetBrains Mono" w:eastAsia="JetBrains Mono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JetBrains Mono" w:hAnsi="JetBrains Mono" w:cs="JetBrains Mono" w:eastAsia="JetBrains Mono"/>
      <w:color w:val="402FFF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JetBrains Mono" w:hAnsi="JetBrains Mono" w:cs="JetBrains Mono" w:eastAsia="JetBrains Mono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JetBrains Mono" w:hAnsi="JetBrains Mono" w:cs="JetBrains Mono" w:eastAsia="JetBrains Mono"/>
      <w:b/>
      <w:bCs/>
      <w:color w:val="402FF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JetBrains Mono" w:hAnsi="JetBrains Mono" w:cs="JetBrains Mono" w:eastAsia="JetBrains Mono"/>
      <w:b/>
      <w:bCs/>
      <w:color w:val="402FFF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JetBrains Mono" w:hAnsi="JetBrains Mono" w:cs="JetBrains Mono" w:eastAsia="JetBrains Mono"/>
      <w:b/>
      <w:bCs/>
      <w:color w:val="402FFF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02FFF"/>
      </w:pBdr>
      <w:spacing w:after="300" w:line="240" w:lineRule="auto"/>
      <w:contextualSpacing/>
    </w:pPr>
    <w:rPr>
      <w:rFonts w:ascii="JetBrains Mono" w:hAnsi="JetBrains Mono" w:cs="JetBrains Mono" w:eastAsia="JetBrains Mono"/>
      <w:color w:val="1B1C2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JetBrains Mono" w:hAnsi="JetBrains Mono" w:cs="JetBrains Mono" w:eastAsia="JetBrains Mono"/>
      <w:color w:val="1B1C2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JetBrains Mono" w:hAnsi="JetBrains Mono" w:cs="JetBrains Mono" w:eastAsia="JetBrains Mono"/>
      <w:i/>
      <w:iCs/>
      <w:color w:val="402FFF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JetBrains Mono" w:hAnsi="JetBrains Mono" w:cs="JetBrains Mono" w:eastAsia="JetBrains Mono"/>
      <w:i/>
      <w:iCs/>
      <w:color w:val="402FFF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JetBrains Mono" w:hAnsi="JetBrains Mono" w:cs="JetBrains Mono" w:eastAsia="JetBrains Mono"/>
      <w:b/>
      <w:bCs/>
      <w:i/>
      <w:iCs/>
      <w:color w:val="402FFF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JetBrains Mono" w:hAnsi="JetBrains Mono" w:cs="JetBrains Mono" w:eastAsia="JetBrains Mono"/>
      <w:color w:val="402FFF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JetBrains Mono" w:hAnsi="JetBrains Mono" w:cs="JetBrains Mono" w:eastAsia="JetBrains Mono"/>
      <w:i/>
      <w:iCs/>
      <w:color w:val="402FFF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JetBrains Mono" w:hAnsi="JetBrains Mono" w:cs="JetBrains Mono" w:eastAsia="JetBrains Mono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JetBrains Mono" w:hAnsi="JetBrains Mono" w:cs="JetBrains Mono" w:eastAsia="JetBrains Mono"/>
      <w:color w:val="402FFF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JetBrains Mono" w:hAnsi="JetBrains Mono" w:cs="JetBrains Mono" w:eastAsia="JetBrains Mono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02FFF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02FFF"/>
      </w:pBdr>
      <w:spacing w:before="200" w:after="280"/>
      <w:ind w:left="936" w:right="936"/>
    </w:pPr>
    <w:rPr>
      <w:b/>
      <w:bCs/>
      <w:i/>
      <w:iCs/>
      <w:color w:val="402F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02FFF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02FFF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02FFF"/>
    </w:rPr>
    <w:tblPr>
      <w:tblStyleRowBandSize w:val="1"/>
      <w:tblStyleColBandSize w:val="1"/>
      <w:tblInd w:w="0" w:type="dxa"/>
      <w:tblBorders>
        <w:top w:val="single" w:sz="8" w:space="0" w:color="402FFF"/>
        <w:bottom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/>
          <w:left w:val="nil"/>
          <w:bottom w:val="single" w:sz="8" w:space="0" w:color="402FF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/>
          <w:left w:val="nil"/>
          <w:bottom w:val="single" w:sz="8" w:space="0" w:color="402FFF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  <w:tblStylePr w:type="band1Horz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  <w:insideH w:val="single" w:sz="8" w:space="0" w:color="402FFF"/>
        <w:insideV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02FFF"/>
          <w:left w:val="single" w:sz="8" w:space="0" w:color="402FFF"/>
          <w:bottom w:val="single" w:sz="18" w:space="0" w:color="402FFF"/>
          <w:right w:val="single" w:sz="8" w:space="0" w:color="402FFF"/>
          <w:insideH w:val="nil"/>
          <w:insideV w:val="single" w:sz="8" w:space="0" w:color="402FFF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402FFF"/>
          <w:left w:val="single" w:sz="8" w:space="0" w:color="402FFF"/>
          <w:bottom w:val="single" w:sz="8" w:space="0" w:color="402FFF"/>
          <w:right w:val="single" w:sz="8" w:space="0" w:color="402FFF"/>
          <w:insideH w:val="nil"/>
          <w:insideV w:val="single" w:sz="8" w:space="0" w:color="402FFF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  <w:tblStylePr w:type="band1Vert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  <w:insideV w:val="single" w:sz="8" w:space="0" w:color="402FFF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  <w:insideV w:val="single" w:sz="8" w:space="0" w:color="402FFF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/>
        <w:bottom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402FFF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02FFF"/>
          <w:bottom w:val="single" w:sz="8" w:space="0" w:color="402F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2FFF"/>
          <w:bottom w:val="single" w:sz="8" w:space="0" w:color="402FFF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2FFF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02FFF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2FFF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02FFF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  <w:insideH w:val="single" w:sz="8" w:space="0" w:color="402FFF"/>
        <w:insideV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02FFF"/>
          <w:insideV w:val="single" w:sz="6" w:space="0" w:color="402FFF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02FF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2FF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02FFF"/>
        <w:bottom w:val="single" w:sz="4" w:space="0" w:color="402FFF"/>
        <w:right w:val="single" w:sz="4" w:space="0" w:color="402FFF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02FFF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02FFF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2FFF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02FFF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2FFF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2FF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2FFF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02FFF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02FFF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02FFF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02FFF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1C21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B1C21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02FFF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02FFF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02FFF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402FFF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402FFF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02FFF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02FFF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02FFF" w:themeColor="accent1"/>
      </w:pBdr>
      <w:spacing w:before="200" w:after="280"/>
      <w:ind w:left="936" w:right="936"/>
    </w:pPr>
    <w:rPr>
      <w:b/>
      <w:bCs/>
      <w:i/>
      <w:iCs/>
      <w:color w:val="402F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02FFF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02FFF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02FFF" w:themeColor="accent1" w:themeShade="BF"/>
    </w:rPr>
    <w:tblPr>
      <w:tblStyleRowBandSize w:val="1"/>
      <w:tblStyleColBandSize w:val="1"/>
      <w:tblInd w:w="0" w:type="dxa"/>
      <w:tblBorders>
        <w:top w:val="single" w:sz="8" w:space="0" w:color="402FFF" w:themeColor="accent1"/>
        <w:bottom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 w:themeColor="accent1"/>
          <w:left w:val="nil"/>
          <w:bottom w:val="single" w:sz="8" w:space="0" w:color="402FF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 w:themeColor="accent1"/>
          <w:left w:val="nil"/>
          <w:bottom w:val="single" w:sz="8" w:space="0" w:color="402FF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  <w:tblStylePr w:type="band1Horz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  <w:insideH w:val="single" w:sz="8" w:space="0" w:color="402FFF" w:themeColor="accent1"/>
        <w:insideV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18" w:space="0" w:color="402FFF" w:themeColor="accent1"/>
          <w:right w:val="single" w:sz="8" w:space="0" w:color="402FFF" w:themeColor="accent1"/>
          <w:insideH w:val="nil"/>
          <w:insideV w:val="single" w:sz="8" w:space="0" w:color="402FFF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  <w:insideH w:val="nil"/>
          <w:insideV w:val="single" w:sz="8" w:space="0" w:color="402FFF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  <w:tblStylePr w:type="band1Vert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  <w:insideV w:val="single" w:sz="8" w:space="0" w:color="402FFF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  <w:insideV w:val="single" w:sz="8" w:space="0" w:color="402FF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 w:themeColor="accent1"/>
        <w:bottom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02FFF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02FFF" w:themeColor="accent1"/>
          <w:bottom w:val="single" w:sz="8" w:space="0" w:color="402FF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2FFF" w:themeColor="accent1"/>
          <w:bottom w:val="single" w:sz="8" w:space="0" w:color="402FFF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2FF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02FF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2FF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02FF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  <w:insideH w:val="single" w:sz="8" w:space="0" w:color="402FFF" w:themeColor="accent1"/>
        <w:insideV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02FFF" w:themeColor="accent1"/>
          <w:insideV w:val="single" w:sz="6" w:space="0" w:color="402FFF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02FF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2FF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02FFF" w:themeColor="accent1"/>
        <w:bottom w:val="single" w:sz="4" w:space="0" w:color="402FFF" w:themeColor="accent1"/>
        <w:right w:val="single" w:sz="4" w:space="0" w:color="402FF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FSP">
  <a:themeElements>
    <a:clrScheme name="FSP">
      <a:dk1>
        <a:sysClr val="windowText" lastClr="000000"/>
      </a:dk1>
      <a:lt1>
        <a:sysClr val="window" lastClr="FFFFFF"/>
      </a:lt1>
      <a:dk2>
        <a:srgbClr val="1B1C21"/>
      </a:dk2>
      <a:lt2>
        <a:srgbClr val="EDEDED"/>
      </a:lt2>
      <a:accent1>
        <a:srgbClr val="402FFF"/>
      </a:accent1>
      <a:accent2>
        <a:srgbClr val="EC1D35"/>
      </a:accent2>
      <a:accent3>
        <a:srgbClr val="C8C9CA"/>
      </a:accent3>
      <a:accent4>
        <a:srgbClr val="8064A2"/>
      </a:accent4>
      <a:accent5>
        <a:srgbClr val="4BACC6"/>
      </a:accent5>
      <a:accent6>
        <a:srgbClr val="F79646"/>
      </a:accent6>
      <a:hlink>
        <a:srgbClr val="402FFF"/>
      </a:hlink>
      <a:folHlink>
        <a:srgbClr val="800080"/>
      </a:folHlink>
    </a:clrScheme>
    <a:fontScheme name="Office">
      <a:majorFont>
        <a:latin typeface="JetBrains Mon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exception.expert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2026-10-09T12:57:32Z</dcterms:modified>
  <cp:category/>
</cp:coreProperties>
</file>